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35" w:rsidRPr="0010007D" w:rsidRDefault="00443035" w:rsidP="0010007D">
      <w:pPr>
        <w:spacing w:after="100" w:afterAutospacing="1" w:line="240" w:lineRule="auto"/>
        <w:outlineLvl w:val="0"/>
        <w:rPr>
          <w:rFonts w:ascii="Arial" w:eastAsia="Times New Roman" w:hAnsi="Arial" w:cs="Arial"/>
          <w:color w:val="000000"/>
          <w:kern w:val="36"/>
          <w:sz w:val="39"/>
          <w:szCs w:val="39"/>
          <w:lang w:eastAsia="ru-RU"/>
        </w:rPr>
      </w:pPr>
      <w:r w:rsidRPr="0010007D">
        <w:rPr>
          <w:rFonts w:ascii="Arial" w:eastAsia="Times New Roman" w:hAnsi="Arial" w:cs="Arial"/>
          <w:color w:val="000000"/>
          <w:kern w:val="36"/>
          <w:sz w:val="39"/>
          <w:szCs w:val="39"/>
          <w:lang w:eastAsia="ru-RU"/>
        </w:rPr>
        <w:t>ГИА-11</w:t>
      </w:r>
    </w:p>
    <w:p w:rsidR="00443035" w:rsidRPr="0010007D" w:rsidRDefault="00443035" w:rsidP="0010007D">
      <w:pPr>
        <w:spacing w:before="100" w:beforeAutospacing="1" w:after="100" w:afterAutospacing="1" w:line="240" w:lineRule="auto"/>
        <w:outlineLvl w:val="2"/>
        <w:rPr>
          <w:rFonts w:ascii="Arial" w:eastAsia="Times New Roman" w:hAnsi="Arial" w:cs="Arial"/>
          <w:color w:val="000000"/>
          <w:sz w:val="30"/>
          <w:szCs w:val="30"/>
          <w:lang w:eastAsia="ru-RU"/>
        </w:rPr>
      </w:pPr>
      <w:r w:rsidRPr="0010007D">
        <w:rPr>
          <w:rFonts w:ascii="Arial" w:eastAsia="Times New Roman" w:hAnsi="Arial" w:cs="Arial"/>
          <w:b/>
          <w:bCs/>
          <w:color w:val="000000"/>
          <w:sz w:val="30"/>
          <w:szCs w:val="30"/>
          <w:lang w:eastAsia="ru-RU"/>
        </w:rPr>
        <w:t>ОСНОВНЫЕ СВЕДЕНИЯ</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Освоение имеющих государственную аккредитацию основных образовательных программ среднего общего образования завершается обязательной государственной итоговой аттестацией по образовательным программам среднего общего образования (далее – ГИА-11).</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К ГИА допускаются лица:</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имеющие результат «зачет» за итоговое сочинение (изложение).</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Формы проведения ГИА-11:</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единый государственный экзамен (ЕГЭ);</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государственный выпускной экзамен (ГВЭ).</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ЕГЭ проводится с использованием контрольных измерительных материалов, представляющих собой комплексы заданий стандартизированной формы (далее - КИМ).</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Обязательными учебными предметами, по которым проводится ГИА-11, являются «Русский язык» и «Математика».</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ЕГЭ по учебному предмету «Математика» проводится по двум уровням:</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1) базовому, результаты которого признаются в качестве результатов ГИА;</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2) профильному,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Экзамены по другим учебным предметам –физике, химии, биологии, истории, географии, иностранным языкам (английскому, испанскому, китайскому, немецкому и французскому), обществознанию, литературе, информатике –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ГИА в форме ЕГЭ проводится для:</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обучающихся образовательных организаций, освоивших образовательные программы среднего общего образования в очной, очно-заочной или заочной формах, в том числе иностранных граждан, лиц без гражданства, соотечественников за рубежом, беженцев и вынужденных переселенцев;</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–экстернов.</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Имеют право участвовать в ЕГЭ: </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выпускники прошлых лет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lastRenderedPageBreak/>
        <w:t>– обучающиеся по образовательным программам среднего профессионального образования; </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обучающиеся, получающие среднее общее образование в иностранных образовательных организациях.</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Перечисленные категории участников могут участвовать в ЕГЭ, в том числе при наличии у них действующих результатов ЕГЭ прошлых лет</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ГВЭ представляет собой форму письменных и устных экзаменов с использованием текстов, тем, заданий и билетов. ГВЭ по программам среднего общего образования проводится только по предметам «Русский язык» и «Математика».</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ГИА в форме ГВЭ проводится для:</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обучающихся и экстернов с ограниченными возможностями здоровья (далее – ОВЗ), детей-инвалидов и инвалидов, осваивающих образовательные программы среднего общего образования.</w:t>
      </w:r>
    </w:p>
    <w:p w:rsidR="00443035" w:rsidRPr="0010007D" w:rsidRDefault="00443035" w:rsidP="0010007D">
      <w:pPr>
        <w:spacing w:after="0"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w:t>
      </w:r>
    </w:p>
    <w:p w:rsidR="00443035" w:rsidRPr="0010007D" w:rsidRDefault="00443035" w:rsidP="0010007D">
      <w:pPr>
        <w:spacing w:after="100" w:afterAutospacing="1" w:line="240" w:lineRule="auto"/>
        <w:textAlignment w:val="top"/>
        <w:outlineLvl w:val="0"/>
        <w:rPr>
          <w:rFonts w:ascii="Arial" w:eastAsia="Times New Roman" w:hAnsi="Arial" w:cs="Arial"/>
          <w:color w:val="000000"/>
          <w:kern w:val="36"/>
          <w:sz w:val="39"/>
          <w:szCs w:val="39"/>
          <w:lang w:eastAsia="ru-RU"/>
        </w:rPr>
      </w:pPr>
      <w:r w:rsidRPr="0010007D">
        <w:rPr>
          <w:rFonts w:ascii="Arial" w:eastAsia="Times New Roman" w:hAnsi="Arial" w:cs="Arial"/>
          <w:color w:val="000000"/>
          <w:kern w:val="36"/>
          <w:sz w:val="39"/>
          <w:szCs w:val="39"/>
          <w:lang w:eastAsia="ru-RU"/>
        </w:rPr>
        <w:t xml:space="preserve">Бланки ответов ЕГЭ </w:t>
      </w:r>
    </w:p>
    <w:p w:rsidR="00443035" w:rsidRPr="0010007D" w:rsidRDefault="0010007D" w:rsidP="0010007D">
      <w:pPr>
        <w:spacing w:after="100" w:afterAutospacing="1" w:line="240" w:lineRule="auto"/>
        <w:textAlignment w:val="top"/>
        <w:outlineLvl w:val="0"/>
        <w:rPr>
          <w:rFonts w:ascii="Arial" w:eastAsia="Times New Roman" w:hAnsi="Arial" w:cs="Arial"/>
          <w:color w:val="000000"/>
          <w:kern w:val="36"/>
          <w:sz w:val="39"/>
          <w:szCs w:val="39"/>
          <w:lang w:eastAsia="ru-RU"/>
        </w:rPr>
      </w:pPr>
      <w:hyperlink r:id="rId4" w:history="1">
        <w:r w:rsidR="00443035" w:rsidRPr="0010007D">
          <w:rPr>
            <w:rStyle w:val="a3"/>
            <w:rFonts w:ascii="Arial" w:eastAsia="Times New Roman" w:hAnsi="Arial" w:cs="Arial"/>
            <w:kern w:val="36"/>
            <w:sz w:val="39"/>
            <w:szCs w:val="39"/>
            <w:lang w:eastAsia="ru-RU"/>
          </w:rPr>
          <w:t>https://www.ivege.ru/content/work/ege/blanki</w:t>
        </w:r>
      </w:hyperlink>
    </w:p>
    <w:p w:rsidR="00443035" w:rsidRPr="0010007D" w:rsidRDefault="00443035" w:rsidP="0010007D">
      <w:pPr>
        <w:spacing w:after="100" w:afterAutospacing="1" w:line="240" w:lineRule="auto"/>
        <w:textAlignment w:val="top"/>
        <w:outlineLvl w:val="0"/>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t>ОСНОВНЫЕ ПРАВИЛА ЗАПОЛНЕНИЯ БЛАНКОВ ЕГЭ</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xml:space="preserve">Все бланки ЕГЭ заполняются </w:t>
      </w:r>
      <w:proofErr w:type="spellStart"/>
      <w:r w:rsidRPr="0010007D">
        <w:rPr>
          <w:rFonts w:ascii="Arial" w:eastAsia="Times New Roman" w:hAnsi="Arial" w:cs="Arial"/>
          <w:color w:val="000000"/>
          <w:sz w:val="18"/>
          <w:szCs w:val="18"/>
          <w:lang w:eastAsia="ru-RU"/>
        </w:rPr>
        <w:t>гелевой</w:t>
      </w:r>
      <w:proofErr w:type="spellEnd"/>
      <w:r w:rsidRPr="0010007D">
        <w:rPr>
          <w:rFonts w:ascii="Arial" w:eastAsia="Times New Roman" w:hAnsi="Arial" w:cs="Arial"/>
          <w:color w:val="000000"/>
          <w:sz w:val="18"/>
          <w:szCs w:val="18"/>
          <w:lang w:eastAsia="ru-RU"/>
        </w:rPr>
        <w:t xml:space="preserve"> или капиллярной ручкой с чернилами черного цвета.</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t>ВАЖНО!!!</w:t>
      </w:r>
      <w:r w:rsidRPr="0010007D">
        <w:rPr>
          <w:rFonts w:ascii="Arial" w:eastAsia="Times New Roman" w:hAnsi="Arial" w:cs="Arial"/>
          <w:color w:val="000000"/>
          <w:sz w:val="18"/>
          <w:szCs w:val="18"/>
          <w:lang w:eastAsia="ru-RU"/>
        </w:rPr>
        <w:t> Участник экзамена ДОЛЖЕН ИЗОБРАЖАТЬ КАЖДУЮ ЦИФРУ И БУКВУ во всех заполняемых полях бланка регистрации и бланка ответов № 1, ТЩАТЕЛЬНО КОПИРУЯ ОБРАЗЕЦ ЕЕ НАПИСАНИЯ из строки с образцами написания символов, расположенными в верхней части бланка регистрации и бланка ответов № 1</w:t>
      </w:r>
    </w:p>
    <w:p w:rsidR="00443035" w:rsidRPr="0010007D" w:rsidRDefault="00443035" w:rsidP="0010007D">
      <w:pPr>
        <w:spacing w:after="100" w:afterAutospacing="1" w:line="240" w:lineRule="auto"/>
        <w:jc w:val="center"/>
        <w:textAlignment w:val="top"/>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t>Небрежное написание символов может привести к тому, что при автоматизированной обработке символ может быть распознан неправильно.</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Каждое поле в бланках заполняется, начиная с первой позиции (в том числе и поля для внесения фамилии, имени и отчества (последнее – при наличии) участника экзамена, реквизитов документа, удостоверяющего личность).</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При записи ответов необходимо строго следовать инструкциям по выполнению экзаменационной работы (к группе заданий, отдельным заданиям), указанным в КИМ для проведения ЕГЭ по соответствующему учебному предмету.</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На бланках ответов № 1 и № 2, дополнительном бланке ответов № 2 не должно быть пометок, содержащих информацию о личности участника экзамена.</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t> Категорически запрещается:</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делать в полях бланков ЕГЭ, вне полей бланков ЕГЭ или в полях, заполненных типографским способом, какие-либо записи и (или) пометки, не относящиеся к содержанию полей бланков ЕГЭ;</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xml:space="preserve">- использовать для заполнения бланков ЕГЭ цветные ручки вместо </w:t>
      </w:r>
      <w:proofErr w:type="spellStart"/>
      <w:r w:rsidRPr="0010007D">
        <w:rPr>
          <w:rFonts w:ascii="Arial" w:eastAsia="Times New Roman" w:hAnsi="Arial" w:cs="Arial"/>
          <w:color w:val="000000"/>
          <w:sz w:val="18"/>
          <w:szCs w:val="18"/>
          <w:lang w:eastAsia="ru-RU"/>
        </w:rPr>
        <w:t>гелевой</w:t>
      </w:r>
      <w:proofErr w:type="spellEnd"/>
      <w:r w:rsidRPr="0010007D">
        <w:rPr>
          <w:rFonts w:ascii="Arial" w:eastAsia="Times New Roman" w:hAnsi="Arial" w:cs="Arial"/>
          <w:color w:val="000000"/>
          <w:sz w:val="18"/>
          <w:szCs w:val="18"/>
          <w:lang w:eastAsia="ru-RU"/>
        </w:rPr>
        <w:t xml:space="preserve"> или капиллярной ручки с чернилами черного цвета, карандаш, средства для исправления внесенной в бланки ЕГЭ информации (корректирующую жидкость, «ластик» и др.).</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t>В случае ошибочного заполнения полей бланка регистрации участник экзамена может внести исправления:</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записав новые символы (цифры, буквы) более жирным шрифтом поверх ранее написанных символов (цифр, букв);</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зачеркнув ранее написанные символы (цифры, буквы) и заполнив свободные клеточки справа новыми символами (при наличии достаточного количества оставшихся свободных клеточек).</w:t>
      </w:r>
    </w:p>
    <w:p w:rsidR="00443035" w:rsidRPr="0010007D" w:rsidRDefault="00443035" w:rsidP="0010007D">
      <w:pPr>
        <w:spacing w:after="100" w:afterAutospacing="1" w:line="240" w:lineRule="auto"/>
        <w:outlineLvl w:val="0"/>
        <w:rPr>
          <w:rFonts w:ascii="Arial" w:eastAsia="Times New Roman" w:hAnsi="Arial" w:cs="Arial"/>
          <w:color w:val="000000"/>
          <w:kern w:val="36"/>
          <w:sz w:val="39"/>
          <w:szCs w:val="39"/>
          <w:lang w:eastAsia="ru-RU"/>
        </w:rPr>
      </w:pPr>
      <w:r w:rsidRPr="0010007D">
        <w:rPr>
          <w:rFonts w:ascii="Arial" w:eastAsia="Times New Roman" w:hAnsi="Arial" w:cs="Arial"/>
          <w:color w:val="000000"/>
          <w:kern w:val="36"/>
          <w:sz w:val="39"/>
          <w:szCs w:val="39"/>
          <w:lang w:eastAsia="ru-RU"/>
        </w:rPr>
        <w:br/>
        <w:t>Процедура проведения экзаменов</w:t>
      </w:r>
    </w:p>
    <w:p w:rsidR="00443035" w:rsidRPr="0010007D" w:rsidRDefault="0010007D" w:rsidP="0010007D">
      <w:pPr>
        <w:spacing w:after="100" w:afterAutospacing="1" w:line="240" w:lineRule="auto"/>
        <w:rPr>
          <w:rFonts w:ascii="Arial" w:eastAsia="Times New Roman" w:hAnsi="Arial" w:cs="Arial"/>
          <w:color w:val="000000"/>
          <w:sz w:val="18"/>
          <w:szCs w:val="18"/>
          <w:lang w:eastAsia="ru-RU"/>
        </w:rPr>
      </w:pPr>
      <w:hyperlink r:id="rId5" w:history="1">
        <w:r w:rsidR="00443035" w:rsidRPr="0010007D">
          <w:rPr>
            <w:rFonts w:ascii="Arial" w:eastAsia="Times New Roman" w:hAnsi="Arial" w:cs="Arial"/>
            <w:color w:val="BF2C2F"/>
            <w:sz w:val="18"/>
            <w:szCs w:val="18"/>
            <w:u w:val="single"/>
            <w:lang w:eastAsia="ru-RU"/>
          </w:rPr>
          <w:t>Приказ Министерства просвещения Российской Федерации (</w:t>
        </w:r>
        <w:proofErr w:type="spellStart"/>
        <w:r w:rsidR="00443035" w:rsidRPr="0010007D">
          <w:rPr>
            <w:rFonts w:ascii="Arial" w:eastAsia="Times New Roman" w:hAnsi="Arial" w:cs="Arial"/>
            <w:color w:val="BF2C2F"/>
            <w:sz w:val="18"/>
            <w:szCs w:val="18"/>
            <w:u w:val="single"/>
            <w:lang w:eastAsia="ru-RU"/>
          </w:rPr>
          <w:t>Минпросвещения</w:t>
        </w:r>
        <w:proofErr w:type="spellEnd"/>
        <w:r w:rsidR="00443035" w:rsidRPr="0010007D">
          <w:rPr>
            <w:rFonts w:ascii="Arial" w:eastAsia="Times New Roman" w:hAnsi="Arial" w:cs="Arial"/>
            <w:color w:val="BF2C2F"/>
            <w:sz w:val="18"/>
            <w:szCs w:val="18"/>
            <w:u w:val="single"/>
            <w:lang w:eastAsia="ru-RU"/>
          </w:rPr>
          <w:t xml:space="preserve"> России) и Федеральной службы по надзору в сфере образования и науки (Рособрнадзор) от 04.04.2023 №233/552 "Об утверждении Порядка проведения государственной итоговой аттестации по образовательным программам среднего общего образования"</w:t>
        </w:r>
      </w:hyperlink>
    </w:p>
    <w:p w:rsidR="00443035" w:rsidRPr="0010007D" w:rsidRDefault="0010007D" w:rsidP="0010007D">
      <w:pPr>
        <w:spacing w:after="100" w:afterAutospacing="1" w:line="240" w:lineRule="auto"/>
        <w:rPr>
          <w:rFonts w:ascii="Arial" w:eastAsia="Times New Roman" w:hAnsi="Arial" w:cs="Arial"/>
          <w:color w:val="000000"/>
          <w:sz w:val="18"/>
          <w:szCs w:val="18"/>
          <w:lang w:eastAsia="ru-RU"/>
        </w:rPr>
      </w:pPr>
      <w:hyperlink r:id="rId6" w:history="1">
        <w:r w:rsidR="00443035" w:rsidRPr="0010007D">
          <w:rPr>
            <w:rFonts w:ascii="Arial" w:eastAsia="Times New Roman" w:hAnsi="Arial" w:cs="Arial"/>
            <w:color w:val="BF2C2F"/>
            <w:sz w:val="18"/>
            <w:szCs w:val="18"/>
            <w:u w:val="single"/>
            <w:lang w:eastAsia="ru-RU"/>
          </w:rPr>
          <w:t>Приказ Министерства просвещения Российской Федерации (</w:t>
        </w:r>
        <w:proofErr w:type="spellStart"/>
        <w:r w:rsidR="00443035" w:rsidRPr="0010007D">
          <w:rPr>
            <w:rFonts w:ascii="Arial" w:eastAsia="Times New Roman" w:hAnsi="Arial" w:cs="Arial"/>
            <w:color w:val="BF2C2F"/>
            <w:sz w:val="18"/>
            <w:szCs w:val="18"/>
            <w:u w:val="single"/>
            <w:lang w:eastAsia="ru-RU"/>
          </w:rPr>
          <w:t>Минпросвещения</w:t>
        </w:r>
        <w:proofErr w:type="spellEnd"/>
        <w:r w:rsidR="00443035" w:rsidRPr="0010007D">
          <w:rPr>
            <w:rFonts w:ascii="Arial" w:eastAsia="Times New Roman" w:hAnsi="Arial" w:cs="Arial"/>
            <w:color w:val="BF2C2F"/>
            <w:sz w:val="18"/>
            <w:szCs w:val="18"/>
            <w:u w:val="single"/>
            <w:lang w:eastAsia="ru-RU"/>
          </w:rPr>
          <w:t xml:space="preserve"> России) и Федеральной службы по надзору в сфере образования и науки (Рособрнадзор) от 04.04.2023 №232/551 "Об утверждении Порядка проведения государственной итоговой аттестации по образовательным программам </w:t>
        </w:r>
        <w:proofErr w:type="spellStart"/>
        <w:r w:rsidR="00443035" w:rsidRPr="0010007D">
          <w:rPr>
            <w:rFonts w:ascii="Arial" w:eastAsia="Times New Roman" w:hAnsi="Arial" w:cs="Arial"/>
            <w:color w:val="BF2C2F"/>
            <w:sz w:val="18"/>
            <w:szCs w:val="18"/>
            <w:u w:val="single"/>
            <w:lang w:eastAsia="ru-RU"/>
          </w:rPr>
          <w:t>сосновного</w:t>
        </w:r>
        <w:proofErr w:type="spellEnd"/>
        <w:r w:rsidR="00443035" w:rsidRPr="0010007D">
          <w:rPr>
            <w:rFonts w:ascii="Arial" w:eastAsia="Times New Roman" w:hAnsi="Arial" w:cs="Arial"/>
            <w:color w:val="BF2C2F"/>
            <w:sz w:val="18"/>
            <w:szCs w:val="18"/>
            <w:u w:val="single"/>
            <w:lang w:eastAsia="ru-RU"/>
          </w:rPr>
          <w:t xml:space="preserve"> общего образования"</w:t>
        </w:r>
      </w:hyperlink>
    </w:p>
    <w:p w:rsidR="00443035" w:rsidRPr="0010007D" w:rsidRDefault="00443035" w:rsidP="0010007D">
      <w:pPr>
        <w:spacing w:after="100" w:afterAutospacing="1" w:line="240" w:lineRule="auto"/>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xml:space="preserve">Проект совместного приказа </w:t>
      </w:r>
      <w:proofErr w:type="spellStart"/>
      <w:r w:rsidRPr="0010007D">
        <w:rPr>
          <w:rFonts w:ascii="Arial" w:eastAsia="Times New Roman" w:hAnsi="Arial" w:cs="Arial"/>
          <w:color w:val="000000"/>
          <w:sz w:val="18"/>
          <w:szCs w:val="18"/>
          <w:lang w:eastAsia="ru-RU"/>
        </w:rPr>
        <w:t>Минпросвещения</w:t>
      </w:r>
      <w:proofErr w:type="spellEnd"/>
      <w:r w:rsidRPr="0010007D">
        <w:rPr>
          <w:rFonts w:ascii="Arial" w:eastAsia="Times New Roman" w:hAnsi="Arial" w:cs="Arial"/>
          <w:color w:val="000000"/>
          <w:sz w:val="18"/>
          <w:szCs w:val="18"/>
          <w:lang w:eastAsia="ru-RU"/>
        </w:rPr>
        <w:t xml:space="preserve"> Российской Федерации и Рособрнадзора, устанавливающий особенности проведения государственной итоговой аттестации по образовательным программам основного общего и среднего общего образования (ГИА) в 2024 году, </w:t>
      </w:r>
      <w:hyperlink r:id="rId7" w:tgtFrame="_blank" w:history="1">
        <w:r w:rsidRPr="0010007D">
          <w:rPr>
            <w:rFonts w:ascii="Arial" w:eastAsia="Times New Roman" w:hAnsi="Arial" w:cs="Arial"/>
            <w:color w:val="BF2C2F"/>
            <w:sz w:val="18"/>
            <w:szCs w:val="18"/>
            <w:u w:val="single"/>
            <w:lang w:eastAsia="ru-RU"/>
          </w:rPr>
          <w:t>опубликован</w:t>
        </w:r>
      </w:hyperlink>
      <w:r w:rsidRPr="0010007D">
        <w:rPr>
          <w:rFonts w:ascii="Arial" w:eastAsia="Times New Roman" w:hAnsi="Arial" w:cs="Arial"/>
          <w:color w:val="000000"/>
          <w:sz w:val="18"/>
          <w:szCs w:val="18"/>
          <w:lang w:eastAsia="ru-RU"/>
        </w:rPr>
        <w:t> на федеральном портале проектов нормативных правовых актов.</w:t>
      </w:r>
    </w:p>
    <w:p w:rsidR="00443035" w:rsidRPr="0010007D" w:rsidRDefault="00443035" w:rsidP="0010007D">
      <w:pPr>
        <w:spacing w:after="0" w:line="240" w:lineRule="auto"/>
        <w:rPr>
          <w:rFonts w:ascii="Times New Roman" w:eastAsia="Times New Roman" w:hAnsi="Times New Roman" w:cs="Times New Roman"/>
          <w:sz w:val="24"/>
          <w:szCs w:val="24"/>
          <w:lang w:eastAsia="ru-RU"/>
        </w:rPr>
      </w:pPr>
      <w:r w:rsidRPr="0010007D">
        <w:rPr>
          <w:rFonts w:ascii="Arial" w:eastAsia="Times New Roman" w:hAnsi="Arial" w:cs="Arial"/>
          <w:color w:val="000000"/>
          <w:sz w:val="18"/>
          <w:szCs w:val="18"/>
          <w:shd w:val="clear" w:color="auto" w:fill="ECEEEE"/>
          <w:lang w:eastAsia="ru-RU"/>
        </w:rPr>
        <w:t> </w:t>
      </w:r>
    </w:p>
    <w:p w:rsidR="00443035" w:rsidRPr="0010007D" w:rsidRDefault="00443035" w:rsidP="0010007D">
      <w:pPr>
        <w:spacing w:after="100" w:afterAutospacing="1" w:line="240" w:lineRule="auto"/>
        <w:textAlignment w:val="top"/>
        <w:outlineLvl w:val="0"/>
        <w:rPr>
          <w:rFonts w:ascii="Arial" w:eastAsia="Times New Roman" w:hAnsi="Arial" w:cs="Arial"/>
          <w:color w:val="000000"/>
          <w:kern w:val="36"/>
          <w:sz w:val="39"/>
          <w:szCs w:val="39"/>
          <w:lang w:eastAsia="ru-RU"/>
        </w:rPr>
      </w:pPr>
      <w:r w:rsidRPr="0010007D">
        <w:rPr>
          <w:rFonts w:ascii="Arial" w:eastAsia="Times New Roman" w:hAnsi="Arial" w:cs="Arial"/>
          <w:color w:val="000000"/>
          <w:kern w:val="36"/>
          <w:sz w:val="39"/>
          <w:szCs w:val="39"/>
          <w:lang w:eastAsia="ru-RU"/>
        </w:rPr>
        <w:t>Заявление на ГИА-11</w:t>
      </w:r>
    </w:p>
    <w:tbl>
      <w:tblPr>
        <w:tblW w:w="10515" w:type="dxa"/>
        <w:tblBorders>
          <w:top w:val="single" w:sz="12" w:space="0" w:color="EEEEEE"/>
          <w:left w:val="single" w:sz="12" w:space="0" w:color="EEEEEE"/>
          <w:bottom w:val="single" w:sz="12" w:space="0" w:color="EEEEEE"/>
          <w:right w:val="single" w:sz="12" w:space="0" w:color="EEEEEE"/>
        </w:tblBorders>
        <w:tblCellMar>
          <w:top w:w="15" w:type="dxa"/>
          <w:left w:w="15" w:type="dxa"/>
          <w:bottom w:w="15" w:type="dxa"/>
          <w:right w:w="15" w:type="dxa"/>
        </w:tblCellMar>
        <w:tblLook w:val="04A0" w:firstRow="1" w:lastRow="0" w:firstColumn="1" w:lastColumn="0" w:noHBand="0" w:noVBand="1"/>
      </w:tblPr>
      <w:tblGrid>
        <w:gridCol w:w="10515"/>
      </w:tblGrid>
      <w:tr w:rsidR="00443035" w:rsidRPr="0010007D" w:rsidTr="00443035">
        <w:trPr>
          <w:trHeight w:val="255"/>
          <w:tblHeader/>
        </w:trPr>
        <w:tc>
          <w:tcPr>
            <w:tcW w:w="10515" w:type="dxa"/>
            <w:tcBorders>
              <w:top w:val="single" w:sz="6" w:space="0" w:color="EEEEEE"/>
              <w:left w:val="single" w:sz="6" w:space="0" w:color="EEEEEE"/>
              <w:bottom w:val="single" w:sz="6" w:space="0" w:color="EEEEEE"/>
              <w:right w:val="single" w:sz="6" w:space="0" w:color="EEEEEE"/>
            </w:tcBorders>
            <w:shd w:val="clear" w:color="auto" w:fill="BF2C2F"/>
            <w:tcMar>
              <w:top w:w="150" w:type="dxa"/>
              <w:left w:w="150" w:type="dxa"/>
              <w:bottom w:w="150" w:type="dxa"/>
              <w:right w:w="150" w:type="dxa"/>
            </w:tcMar>
            <w:vAlign w:val="center"/>
            <w:hideMark/>
          </w:tcPr>
          <w:p w:rsidR="00443035" w:rsidRPr="0010007D" w:rsidRDefault="00443035" w:rsidP="0010007D">
            <w:pPr>
              <w:spacing w:before="180" w:after="180" w:line="240" w:lineRule="auto"/>
              <w:ind w:left="30"/>
              <w:jc w:val="center"/>
              <w:rPr>
                <w:rFonts w:ascii="Times New Roman" w:eastAsia="Times New Roman" w:hAnsi="Times New Roman" w:cs="Times New Roman"/>
                <w:color w:val="FFFFFF"/>
                <w:sz w:val="24"/>
                <w:szCs w:val="24"/>
                <w:lang w:eastAsia="ru-RU"/>
              </w:rPr>
            </w:pPr>
            <w:r w:rsidRPr="0010007D">
              <w:rPr>
                <w:rFonts w:ascii="Times New Roman" w:eastAsia="Times New Roman" w:hAnsi="Times New Roman" w:cs="Times New Roman"/>
                <w:color w:val="FFFFFF"/>
                <w:sz w:val="24"/>
                <w:szCs w:val="24"/>
                <w:lang w:eastAsia="ru-RU"/>
              </w:rPr>
              <w:t>Образцы документов на участие в ЕГЭ в 2024 году</w:t>
            </w:r>
          </w:p>
        </w:tc>
      </w:tr>
      <w:tr w:rsidR="00443035" w:rsidRPr="0010007D" w:rsidTr="00443035">
        <w:trPr>
          <w:trHeight w:val="270"/>
        </w:trPr>
        <w:tc>
          <w:tcPr>
            <w:tcW w:w="10515"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10007D" w:rsidP="0010007D">
            <w:pPr>
              <w:spacing w:before="180" w:after="180" w:line="240" w:lineRule="auto"/>
              <w:ind w:left="30"/>
              <w:rPr>
                <w:rFonts w:ascii="Times New Roman" w:eastAsia="Times New Roman" w:hAnsi="Times New Roman" w:cs="Times New Roman"/>
                <w:sz w:val="24"/>
                <w:szCs w:val="24"/>
                <w:lang w:eastAsia="ru-RU"/>
              </w:rPr>
            </w:pPr>
            <w:hyperlink r:id="rId8" w:tgtFrame="_blank" w:history="1">
              <w:r w:rsidR="00443035" w:rsidRPr="0010007D">
                <w:rPr>
                  <w:rFonts w:ascii="Times New Roman" w:eastAsia="Times New Roman" w:hAnsi="Times New Roman" w:cs="Times New Roman"/>
                  <w:color w:val="BF2C2F"/>
                  <w:sz w:val="24"/>
                  <w:szCs w:val="24"/>
                  <w:u w:val="single"/>
                  <w:lang w:eastAsia="ru-RU"/>
                </w:rPr>
                <w:t>Приказ Департамента образования Ивановской области от 05.12.2023 № 1368-о</w:t>
              </w:r>
            </w:hyperlink>
          </w:p>
        </w:tc>
      </w:tr>
      <w:tr w:rsidR="00443035" w:rsidRPr="0010007D" w:rsidTr="00443035">
        <w:trPr>
          <w:trHeight w:val="270"/>
        </w:trPr>
        <w:tc>
          <w:tcPr>
            <w:tcW w:w="10515"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10007D" w:rsidP="0010007D">
            <w:pPr>
              <w:spacing w:before="180" w:after="180" w:line="240" w:lineRule="auto"/>
              <w:ind w:left="30"/>
              <w:rPr>
                <w:rFonts w:ascii="Times New Roman" w:eastAsia="Times New Roman" w:hAnsi="Times New Roman" w:cs="Times New Roman"/>
                <w:sz w:val="24"/>
                <w:szCs w:val="24"/>
                <w:lang w:eastAsia="ru-RU"/>
              </w:rPr>
            </w:pPr>
            <w:hyperlink r:id="rId9" w:tgtFrame="_blank" w:history="1">
              <w:r w:rsidR="00443035" w:rsidRPr="0010007D">
                <w:rPr>
                  <w:rFonts w:ascii="Times New Roman" w:eastAsia="Times New Roman" w:hAnsi="Times New Roman" w:cs="Times New Roman"/>
                  <w:color w:val="BF2C2F"/>
                  <w:sz w:val="24"/>
                  <w:szCs w:val="24"/>
                  <w:u w:val="single"/>
                  <w:lang w:eastAsia="ru-RU"/>
                </w:rPr>
                <w:t>Порядок подачи заявлений на участие в ГИА ДОКУМЕНТЫ на ГИА-11</w:t>
              </w:r>
            </w:hyperlink>
          </w:p>
        </w:tc>
      </w:tr>
      <w:tr w:rsidR="00443035" w:rsidRPr="0010007D" w:rsidTr="00443035">
        <w:trPr>
          <w:trHeight w:val="597"/>
        </w:trPr>
        <w:tc>
          <w:tcPr>
            <w:tcW w:w="10515"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10007D" w:rsidP="0010007D">
            <w:pPr>
              <w:spacing w:before="180" w:after="180" w:line="240" w:lineRule="auto"/>
              <w:ind w:left="30"/>
              <w:rPr>
                <w:rFonts w:ascii="Times New Roman" w:eastAsia="Times New Roman" w:hAnsi="Times New Roman" w:cs="Times New Roman"/>
                <w:sz w:val="24"/>
                <w:szCs w:val="24"/>
                <w:lang w:eastAsia="ru-RU"/>
              </w:rPr>
            </w:pPr>
            <w:hyperlink r:id="rId10" w:history="1">
              <w:r w:rsidR="00443035" w:rsidRPr="0010007D">
                <w:rPr>
                  <w:rFonts w:ascii="Times New Roman" w:eastAsia="Times New Roman" w:hAnsi="Times New Roman" w:cs="Times New Roman"/>
                  <w:color w:val="BF2C2F"/>
                  <w:sz w:val="24"/>
                  <w:szCs w:val="24"/>
                  <w:u w:val="single"/>
                  <w:lang w:eastAsia="ru-RU"/>
                </w:rPr>
                <w:t>Места регистрации</w:t>
              </w:r>
            </w:hyperlink>
          </w:p>
        </w:tc>
      </w:tr>
      <w:tr w:rsidR="00443035" w:rsidRPr="0010007D" w:rsidTr="00443035">
        <w:trPr>
          <w:trHeight w:val="270"/>
        </w:trPr>
        <w:tc>
          <w:tcPr>
            <w:tcW w:w="10515"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10007D" w:rsidP="0010007D">
            <w:pPr>
              <w:spacing w:before="180" w:after="180" w:line="240" w:lineRule="auto"/>
              <w:ind w:left="30"/>
              <w:rPr>
                <w:rFonts w:ascii="Times New Roman" w:eastAsia="Times New Roman" w:hAnsi="Times New Roman" w:cs="Times New Roman"/>
                <w:sz w:val="24"/>
                <w:szCs w:val="24"/>
                <w:lang w:eastAsia="ru-RU"/>
              </w:rPr>
            </w:pPr>
            <w:hyperlink r:id="rId11" w:history="1">
              <w:r w:rsidR="00443035" w:rsidRPr="0010007D">
                <w:rPr>
                  <w:rFonts w:ascii="Times New Roman" w:eastAsia="Times New Roman" w:hAnsi="Times New Roman" w:cs="Times New Roman"/>
                  <w:color w:val="BF2C2F"/>
                  <w:sz w:val="24"/>
                  <w:szCs w:val="24"/>
                  <w:u w:val="single"/>
                  <w:lang w:eastAsia="ru-RU"/>
                </w:rPr>
                <w:t>Памятка о правилах проведения ЕГЭ в 2024 году для ознакомления участников экзаменов / родителей (законных представителей) / уполномоченных лиц под подпись</w:t>
              </w:r>
            </w:hyperlink>
          </w:p>
        </w:tc>
        <w:bookmarkStart w:id="0" w:name="_GoBack"/>
        <w:bookmarkEnd w:id="0"/>
      </w:tr>
    </w:tbl>
    <w:p w:rsidR="00443035" w:rsidRPr="0010007D" w:rsidRDefault="00443035" w:rsidP="0010007D">
      <w:pPr>
        <w:spacing w:after="0" w:line="240" w:lineRule="auto"/>
        <w:rPr>
          <w:rFonts w:ascii="Times New Roman" w:eastAsia="Times New Roman" w:hAnsi="Times New Roman" w:cs="Times New Roman"/>
          <w:sz w:val="24"/>
          <w:szCs w:val="24"/>
          <w:lang w:eastAsia="ru-RU"/>
        </w:rPr>
      </w:pPr>
      <w:r w:rsidRPr="0010007D">
        <w:rPr>
          <w:rFonts w:ascii="Arial" w:eastAsia="Times New Roman" w:hAnsi="Arial" w:cs="Arial"/>
          <w:color w:val="000000"/>
          <w:sz w:val="18"/>
          <w:szCs w:val="18"/>
          <w:shd w:val="clear" w:color="auto" w:fill="ECEEEE"/>
          <w:lang w:eastAsia="ru-RU"/>
        </w:rPr>
        <w:t> </w:t>
      </w:r>
    </w:p>
    <w:p w:rsidR="00443035" w:rsidRPr="0010007D" w:rsidRDefault="00443035" w:rsidP="0010007D">
      <w:pPr>
        <w:spacing w:after="100" w:afterAutospacing="1" w:line="240" w:lineRule="auto"/>
        <w:textAlignment w:val="top"/>
        <w:outlineLvl w:val="0"/>
        <w:rPr>
          <w:rFonts w:ascii="Arial" w:eastAsia="Times New Roman" w:hAnsi="Arial" w:cs="Arial"/>
          <w:color w:val="000000"/>
          <w:kern w:val="36"/>
          <w:sz w:val="39"/>
          <w:szCs w:val="39"/>
          <w:lang w:eastAsia="ru-RU"/>
        </w:rPr>
      </w:pPr>
      <w:r w:rsidRPr="0010007D">
        <w:rPr>
          <w:rFonts w:ascii="Arial" w:eastAsia="Times New Roman" w:hAnsi="Arial" w:cs="Arial"/>
          <w:color w:val="000000"/>
          <w:kern w:val="36"/>
          <w:sz w:val="39"/>
          <w:szCs w:val="39"/>
          <w:lang w:eastAsia="ru-RU"/>
        </w:rPr>
        <w:t>Открытый банк заданий ЕГЭ</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На сайте выложены задания по русскому языку, математике, биологии, географии, истории, литературе, обществознанию, информатике, химии, физике и иностранным языкам - английскому, французскому, немецкому, испанскому и китайскому. Задания разделены по тематическим категориям для удобства участников экзамена.</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Наполнение банка заданий проходит поэтапно.</w:t>
      </w:r>
    </w:p>
    <w:p w:rsidR="00443035" w:rsidRPr="0010007D" w:rsidRDefault="0010007D" w:rsidP="0010007D">
      <w:pPr>
        <w:spacing w:after="100" w:afterAutospacing="1" w:line="240" w:lineRule="auto"/>
        <w:textAlignment w:val="top"/>
        <w:rPr>
          <w:rFonts w:ascii="Arial" w:eastAsia="Times New Roman" w:hAnsi="Arial" w:cs="Arial"/>
          <w:color w:val="000000"/>
          <w:sz w:val="18"/>
          <w:szCs w:val="18"/>
          <w:lang w:eastAsia="ru-RU"/>
        </w:rPr>
      </w:pPr>
      <w:hyperlink r:id="rId12" w:history="1">
        <w:r w:rsidR="00443035" w:rsidRPr="0010007D">
          <w:rPr>
            <w:rFonts w:ascii="Arial" w:eastAsia="Times New Roman" w:hAnsi="Arial" w:cs="Arial"/>
            <w:color w:val="BF2C2F"/>
            <w:sz w:val="18"/>
            <w:szCs w:val="18"/>
            <w:u w:val="single"/>
            <w:lang w:eastAsia="ru-RU"/>
          </w:rPr>
          <w:t>Открытый банк заданий ЕГЭ</w:t>
        </w:r>
      </w:hyperlink>
    </w:p>
    <w:p w:rsidR="00443035" w:rsidRPr="0010007D" w:rsidRDefault="00443035" w:rsidP="0010007D">
      <w:pPr>
        <w:spacing w:after="0" w:line="240" w:lineRule="auto"/>
        <w:rPr>
          <w:rFonts w:ascii="Times New Roman" w:eastAsia="Times New Roman" w:hAnsi="Times New Roman" w:cs="Times New Roman"/>
          <w:sz w:val="24"/>
          <w:szCs w:val="24"/>
          <w:lang w:eastAsia="ru-RU"/>
        </w:rPr>
      </w:pPr>
      <w:r w:rsidRPr="0010007D">
        <w:rPr>
          <w:rFonts w:ascii="Arial" w:eastAsia="Times New Roman" w:hAnsi="Arial" w:cs="Arial"/>
          <w:color w:val="000000"/>
          <w:sz w:val="18"/>
          <w:szCs w:val="18"/>
          <w:shd w:val="clear" w:color="auto" w:fill="ECEEEE"/>
          <w:lang w:eastAsia="ru-RU"/>
        </w:rPr>
        <w:t> </w:t>
      </w:r>
    </w:p>
    <w:p w:rsidR="00443035" w:rsidRPr="0010007D" w:rsidRDefault="00443035" w:rsidP="0010007D">
      <w:pPr>
        <w:spacing w:after="100" w:afterAutospacing="1" w:line="240" w:lineRule="auto"/>
        <w:textAlignment w:val="top"/>
        <w:outlineLvl w:val="0"/>
        <w:rPr>
          <w:rFonts w:ascii="Arial" w:eastAsia="Times New Roman" w:hAnsi="Arial" w:cs="Arial"/>
          <w:color w:val="000000"/>
          <w:kern w:val="36"/>
          <w:sz w:val="39"/>
          <w:szCs w:val="39"/>
          <w:lang w:eastAsia="ru-RU"/>
        </w:rPr>
      </w:pPr>
      <w:r w:rsidRPr="0010007D">
        <w:rPr>
          <w:rFonts w:ascii="Arial" w:eastAsia="Times New Roman" w:hAnsi="Arial" w:cs="Arial"/>
          <w:color w:val="000000"/>
          <w:kern w:val="36"/>
          <w:sz w:val="39"/>
          <w:szCs w:val="39"/>
          <w:lang w:eastAsia="ru-RU"/>
        </w:rPr>
        <w:t>Чем пользоваться на ЕГЭ</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t>ЕГЭ по математике</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Линейка, не содержащая справочной информации, для построения чертежей и рисунков.</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t>ЕГЭ по географии</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10007D">
        <w:rPr>
          <w:rFonts w:ascii="Arial" w:eastAsia="Times New Roman" w:hAnsi="Arial" w:cs="Arial"/>
          <w:color w:val="000000"/>
          <w:sz w:val="18"/>
          <w:szCs w:val="18"/>
          <w:lang w:eastAsia="ru-RU"/>
        </w:rPr>
        <w:t>sin</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cos</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tg</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ctg</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arcsin</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arccos</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arctg</w:t>
      </w:r>
      <w:proofErr w:type="spellEnd"/>
      <w:r w:rsidRPr="0010007D">
        <w:rPr>
          <w:rFonts w:ascii="Arial" w:eastAsia="Times New Roman" w:hAnsi="Arial" w:cs="Arial"/>
          <w:color w:val="000000"/>
          <w:sz w:val="18"/>
          <w:szCs w:val="18"/>
          <w:lang w:eastAsia="ru-RU"/>
        </w:rPr>
        <w:t>), при этом не осуществляющий функции средства связи, хранилища базы данных и не имеющий доступа к сетям передачи данных (в том числе к информационно-телекоммуникационной сети «Интернет»).</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t>ЕГЭ по биологии</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10007D">
        <w:rPr>
          <w:rFonts w:ascii="Arial" w:eastAsia="Times New Roman" w:hAnsi="Arial" w:cs="Arial"/>
          <w:color w:val="000000"/>
          <w:sz w:val="18"/>
          <w:szCs w:val="18"/>
          <w:lang w:eastAsia="ru-RU"/>
        </w:rPr>
        <w:t>sin</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cos</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tg</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ctg</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arcsin</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arccos</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arctg</w:t>
      </w:r>
      <w:proofErr w:type="spellEnd"/>
      <w:r w:rsidRPr="0010007D">
        <w:rPr>
          <w:rFonts w:ascii="Arial" w:eastAsia="Times New Roman" w:hAnsi="Arial" w:cs="Arial"/>
          <w:color w:val="000000"/>
          <w:sz w:val="18"/>
          <w:szCs w:val="18"/>
          <w:lang w:eastAsia="ru-RU"/>
        </w:rPr>
        <w:t>), при этом не осуществляющий функции средства связи, хранилища базы данных и не имеющий доступа к сетям передачи данных (в том числе к информационно-телекоммуникационной сети «Интернет»).</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lastRenderedPageBreak/>
        <w:t>ЕГЭ по химии</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10007D">
        <w:rPr>
          <w:rFonts w:ascii="Arial" w:eastAsia="Times New Roman" w:hAnsi="Arial" w:cs="Arial"/>
          <w:color w:val="000000"/>
          <w:sz w:val="18"/>
          <w:szCs w:val="18"/>
          <w:lang w:eastAsia="ru-RU"/>
        </w:rPr>
        <w:t>sin</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cos</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tg</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ctg</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arcsin</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arccos</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arctg</w:t>
      </w:r>
      <w:proofErr w:type="spellEnd"/>
      <w:r w:rsidRPr="0010007D">
        <w:rPr>
          <w:rFonts w:ascii="Arial" w:eastAsia="Times New Roman" w:hAnsi="Arial" w:cs="Arial"/>
          <w:color w:val="000000"/>
          <w:sz w:val="18"/>
          <w:szCs w:val="18"/>
          <w:lang w:eastAsia="ru-RU"/>
        </w:rPr>
        <w:t>), при этом не осуществляющий функции средства связи, хранилища базы данных и не имеющий доступа к сетям передачи данных (в том числе к информационно-телекоммуникационной сети «Интернет»).</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В состав КИМ входят следующие материалы:</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периодическая система химических элементов Д.И. Менделеева;</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таблица растворимости солей, кислот и оснований в воде;</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     электрохимический ряд напряжений металлов.</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t>ЕГЭ по физике</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10007D">
        <w:rPr>
          <w:rFonts w:ascii="Arial" w:eastAsia="Times New Roman" w:hAnsi="Arial" w:cs="Arial"/>
          <w:color w:val="000000"/>
          <w:sz w:val="18"/>
          <w:szCs w:val="18"/>
          <w:lang w:eastAsia="ru-RU"/>
        </w:rPr>
        <w:t>sin</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cos</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tg</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ctg</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arcsin</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arccos</w:t>
      </w:r>
      <w:proofErr w:type="spellEnd"/>
      <w:r w:rsidRPr="0010007D">
        <w:rPr>
          <w:rFonts w:ascii="Arial" w:eastAsia="Times New Roman" w:hAnsi="Arial" w:cs="Arial"/>
          <w:color w:val="000000"/>
          <w:sz w:val="18"/>
          <w:szCs w:val="18"/>
          <w:lang w:eastAsia="ru-RU"/>
        </w:rPr>
        <w:t xml:space="preserve">, </w:t>
      </w:r>
      <w:proofErr w:type="spellStart"/>
      <w:r w:rsidRPr="0010007D">
        <w:rPr>
          <w:rFonts w:ascii="Arial" w:eastAsia="Times New Roman" w:hAnsi="Arial" w:cs="Arial"/>
          <w:color w:val="000000"/>
          <w:sz w:val="18"/>
          <w:szCs w:val="18"/>
          <w:lang w:eastAsia="ru-RU"/>
        </w:rPr>
        <w:t>arctg</w:t>
      </w:r>
      <w:proofErr w:type="spellEnd"/>
      <w:r w:rsidRPr="0010007D">
        <w:rPr>
          <w:rFonts w:ascii="Arial" w:eastAsia="Times New Roman" w:hAnsi="Arial" w:cs="Arial"/>
          <w:color w:val="000000"/>
          <w:sz w:val="18"/>
          <w:szCs w:val="18"/>
          <w:lang w:eastAsia="ru-RU"/>
        </w:rPr>
        <w:t>), при этом не осуществляющий функции средства связи, хранилища базы данных и не имеющий доступа к сетям передачи данных (в том числе к информационно-телекоммуникационной сети «Интернет»).</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Линейка, не содержащая справочной информации, для построения графиков и схем.</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t>ЕГЭ по иностранным языкам</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Технические средства, обеспечивающие воспроизведение аудиозаписей, содержащихся на электронных носителях, для выполнения заданий раздела «Аудирование» КИМ.</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Компьютерная техника, не имеющая доступа к информационно-телекоммуникационной сети «Интернет».</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proofErr w:type="spellStart"/>
      <w:r w:rsidRPr="0010007D">
        <w:rPr>
          <w:rFonts w:ascii="Arial" w:eastAsia="Times New Roman" w:hAnsi="Arial" w:cs="Arial"/>
          <w:color w:val="000000"/>
          <w:sz w:val="18"/>
          <w:szCs w:val="18"/>
          <w:lang w:eastAsia="ru-RU"/>
        </w:rPr>
        <w:t>Аудиогарнитура</w:t>
      </w:r>
      <w:proofErr w:type="spellEnd"/>
      <w:r w:rsidRPr="0010007D">
        <w:rPr>
          <w:rFonts w:ascii="Arial" w:eastAsia="Times New Roman" w:hAnsi="Arial" w:cs="Arial"/>
          <w:color w:val="000000"/>
          <w:sz w:val="18"/>
          <w:szCs w:val="18"/>
          <w:lang w:eastAsia="ru-RU"/>
        </w:rPr>
        <w:t xml:space="preserve"> для выполнения заданий КИМ, предусматривающих устные ответы.</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Все перечисленные технические средства предоставляются участникам в пункте проведения экзаменов.</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t>Информатика</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Компьютерная техника, отвечающая указанным характеристикам, предоставляется участникам в пункте проведения экзаменов.</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t>Литература</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Орфографический словарь, позволяющий устанавливать нормативное написание слов.</w:t>
      </w:r>
    </w:p>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t>Словари предоставляются образовательной организацией, на базе которой организован пункт проведения экзаменов, либо образовательными организациями, обучающиеся которых сдают экзамен в пункте проведения экзаменов.</w:t>
      </w:r>
    </w:p>
    <w:p w:rsidR="00443035" w:rsidRPr="0010007D" w:rsidRDefault="00443035" w:rsidP="0010007D">
      <w:pPr>
        <w:spacing w:after="0" w:line="240" w:lineRule="auto"/>
        <w:rPr>
          <w:rFonts w:ascii="Times New Roman" w:eastAsia="Times New Roman" w:hAnsi="Times New Roman" w:cs="Times New Roman"/>
          <w:sz w:val="24"/>
          <w:szCs w:val="24"/>
          <w:lang w:eastAsia="ru-RU"/>
        </w:rPr>
      </w:pPr>
      <w:r w:rsidRPr="0010007D">
        <w:rPr>
          <w:rFonts w:ascii="Arial" w:eastAsia="Times New Roman" w:hAnsi="Arial" w:cs="Arial"/>
          <w:color w:val="000000"/>
          <w:sz w:val="18"/>
          <w:szCs w:val="18"/>
          <w:shd w:val="clear" w:color="auto" w:fill="ECEEEE"/>
          <w:lang w:eastAsia="ru-RU"/>
        </w:rPr>
        <w:t> </w:t>
      </w:r>
    </w:p>
    <w:p w:rsidR="00443035" w:rsidRPr="0010007D" w:rsidRDefault="00443035" w:rsidP="0010007D">
      <w:pPr>
        <w:spacing w:after="100" w:afterAutospacing="1" w:line="240" w:lineRule="auto"/>
        <w:textAlignment w:val="top"/>
        <w:outlineLvl w:val="0"/>
        <w:rPr>
          <w:rFonts w:ascii="Arial" w:eastAsia="Times New Roman" w:hAnsi="Arial" w:cs="Arial"/>
          <w:color w:val="000000"/>
          <w:kern w:val="36"/>
          <w:sz w:val="39"/>
          <w:szCs w:val="39"/>
          <w:lang w:eastAsia="ru-RU"/>
        </w:rPr>
      </w:pPr>
      <w:r w:rsidRPr="0010007D">
        <w:rPr>
          <w:rFonts w:ascii="Arial" w:eastAsia="Times New Roman" w:hAnsi="Arial" w:cs="Arial"/>
          <w:color w:val="000000"/>
          <w:kern w:val="36"/>
          <w:sz w:val="39"/>
          <w:szCs w:val="39"/>
          <w:lang w:eastAsia="ru-RU"/>
        </w:rPr>
        <w:t>Минимальные баллы</w:t>
      </w:r>
    </w:p>
    <w:p w:rsidR="00443035" w:rsidRPr="0010007D" w:rsidRDefault="0010007D" w:rsidP="0010007D">
      <w:pPr>
        <w:spacing w:after="100" w:afterAutospacing="1" w:line="240" w:lineRule="auto"/>
        <w:textAlignment w:val="top"/>
        <w:rPr>
          <w:rFonts w:ascii="Arial" w:eastAsia="Times New Roman" w:hAnsi="Arial" w:cs="Arial"/>
          <w:color w:val="000000"/>
          <w:sz w:val="18"/>
          <w:szCs w:val="18"/>
          <w:lang w:eastAsia="ru-RU"/>
        </w:rPr>
      </w:pPr>
      <w:hyperlink r:id="rId13" w:history="1">
        <w:r w:rsidR="00443035" w:rsidRPr="0010007D">
          <w:rPr>
            <w:rFonts w:ascii="Arial" w:eastAsia="Times New Roman" w:hAnsi="Arial" w:cs="Arial"/>
            <w:color w:val="BF2C2F"/>
            <w:sz w:val="18"/>
            <w:szCs w:val="18"/>
            <w:u w:val="single"/>
            <w:lang w:eastAsia="ru-RU"/>
          </w:rPr>
          <w:t>Приказ Министерства науки и высшего образования Российской Федерации от 12.08.2022 № 758 "Об установлении минимального количества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образовательных организациях, находящихся в ведении Министерства науки и высшего образования Российской Федерации, на 2023/24 учебный год"</w:t>
        </w:r>
      </w:hyperlink>
    </w:p>
    <w:p w:rsidR="00443035" w:rsidRPr="0010007D" w:rsidRDefault="00443035" w:rsidP="0010007D">
      <w:pPr>
        <w:spacing w:after="100" w:afterAutospacing="1" w:line="240" w:lineRule="auto"/>
        <w:jc w:val="center"/>
        <w:textAlignment w:val="top"/>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t>Минимальные тестовые баллы, подтверждающий освоение образовательной программы среднего общего образования по обязательным учебным предметам</w:t>
      </w:r>
    </w:p>
    <w:tbl>
      <w:tblPr>
        <w:tblW w:w="0" w:type="auto"/>
        <w:jc w:val="center"/>
        <w:tblBorders>
          <w:top w:val="single" w:sz="12" w:space="0" w:color="EEEEEE"/>
          <w:left w:val="single" w:sz="12" w:space="0" w:color="EEEEEE"/>
          <w:bottom w:val="single" w:sz="12" w:space="0" w:color="EEEEEE"/>
          <w:right w:val="single" w:sz="12" w:space="0" w:color="EEEEEE"/>
        </w:tblBorders>
        <w:tblCellMar>
          <w:top w:w="15" w:type="dxa"/>
          <w:left w:w="15" w:type="dxa"/>
          <w:bottom w:w="15" w:type="dxa"/>
          <w:right w:w="15" w:type="dxa"/>
        </w:tblCellMar>
        <w:tblLook w:val="04A0" w:firstRow="1" w:lastRow="0" w:firstColumn="1" w:lastColumn="0" w:noHBand="0" w:noVBand="1"/>
      </w:tblPr>
      <w:tblGrid>
        <w:gridCol w:w="3757"/>
        <w:gridCol w:w="3369"/>
      </w:tblGrid>
      <w:tr w:rsidR="00443035" w:rsidRPr="0010007D" w:rsidTr="00443035">
        <w:trPr>
          <w:tblHeader/>
          <w:jc w:val="center"/>
        </w:trPr>
        <w:tc>
          <w:tcPr>
            <w:tcW w:w="0" w:type="auto"/>
            <w:tcBorders>
              <w:top w:val="single" w:sz="6" w:space="0" w:color="EEEEEE"/>
              <w:left w:val="single" w:sz="6" w:space="0" w:color="EEEEEE"/>
              <w:bottom w:val="single" w:sz="6" w:space="0" w:color="EEEEEE"/>
              <w:right w:val="single" w:sz="6" w:space="0" w:color="EEEEEE"/>
            </w:tcBorders>
            <w:shd w:val="clear" w:color="auto" w:fill="BF2C2F"/>
            <w:tcMar>
              <w:top w:w="150" w:type="dxa"/>
              <w:left w:w="150" w:type="dxa"/>
              <w:bottom w:w="150"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color w:val="FFFFFF"/>
                <w:sz w:val="24"/>
                <w:szCs w:val="24"/>
                <w:lang w:eastAsia="ru-RU"/>
              </w:rPr>
            </w:pPr>
            <w:r w:rsidRPr="0010007D">
              <w:rPr>
                <w:rFonts w:ascii="Times New Roman" w:eastAsia="Times New Roman" w:hAnsi="Times New Roman" w:cs="Times New Roman"/>
                <w:color w:val="FFFFFF"/>
                <w:sz w:val="24"/>
                <w:szCs w:val="24"/>
                <w:lang w:eastAsia="ru-RU"/>
              </w:rPr>
              <w:t>Предмет</w:t>
            </w:r>
          </w:p>
        </w:tc>
        <w:tc>
          <w:tcPr>
            <w:tcW w:w="0" w:type="auto"/>
            <w:tcBorders>
              <w:top w:val="single" w:sz="6" w:space="0" w:color="EEEEEE"/>
              <w:left w:val="single" w:sz="6" w:space="0" w:color="EEEEEE"/>
              <w:bottom w:val="single" w:sz="6" w:space="0" w:color="EEEEEE"/>
              <w:right w:val="single" w:sz="6" w:space="0" w:color="EEEEEE"/>
            </w:tcBorders>
            <w:shd w:val="clear" w:color="auto" w:fill="BF2C2F"/>
            <w:tcMar>
              <w:top w:w="150" w:type="dxa"/>
              <w:left w:w="150" w:type="dxa"/>
              <w:bottom w:w="150"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color w:val="FFFFFF"/>
                <w:sz w:val="24"/>
                <w:szCs w:val="24"/>
                <w:lang w:eastAsia="ru-RU"/>
              </w:rPr>
            </w:pPr>
            <w:r w:rsidRPr="0010007D">
              <w:rPr>
                <w:rFonts w:ascii="Times New Roman" w:eastAsia="Times New Roman" w:hAnsi="Times New Roman" w:cs="Times New Roman"/>
                <w:color w:val="FFFFFF"/>
                <w:sz w:val="24"/>
                <w:szCs w:val="24"/>
                <w:lang w:eastAsia="ru-RU"/>
              </w:rPr>
              <w:t>Минимальный тестовый балл</w:t>
            </w:r>
          </w:p>
        </w:tc>
      </w:tr>
      <w:tr w:rsidR="00443035" w:rsidRPr="0010007D" w:rsidTr="00443035">
        <w:trPr>
          <w:jc w:val="center"/>
        </w:trPr>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Русский язык</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24</w:t>
            </w:r>
          </w:p>
        </w:tc>
      </w:tr>
      <w:tr w:rsidR="00443035" w:rsidRPr="0010007D" w:rsidTr="00443035">
        <w:trPr>
          <w:jc w:val="center"/>
        </w:trPr>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Математика профильного уровня</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27</w:t>
            </w:r>
          </w:p>
        </w:tc>
      </w:tr>
    </w:tbl>
    <w:p w:rsidR="00443035" w:rsidRPr="0010007D" w:rsidRDefault="00443035" w:rsidP="0010007D">
      <w:pPr>
        <w:spacing w:after="100" w:afterAutospacing="1" w:line="240" w:lineRule="auto"/>
        <w:textAlignment w:val="top"/>
        <w:rPr>
          <w:rFonts w:ascii="Arial" w:eastAsia="Times New Roman" w:hAnsi="Arial" w:cs="Arial"/>
          <w:color w:val="000000"/>
          <w:sz w:val="18"/>
          <w:szCs w:val="18"/>
          <w:lang w:eastAsia="ru-RU"/>
        </w:rPr>
      </w:pPr>
      <w:r w:rsidRPr="0010007D">
        <w:rPr>
          <w:rFonts w:ascii="Arial" w:eastAsia="Times New Roman" w:hAnsi="Arial" w:cs="Arial"/>
          <w:color w:val="000000"/>
          <w:sz w:val="18"/>
          <w:szCs w:val="18"/>
          <w:lang w:eastAsia="ru-RU"/>
        </w:rPr>
        <w:lastRenderedPageBreak/>
        <w:t> </w:t>
      </w:r>
    </w:p>
    <w:p w:rsidR="00443035" w:rsidRPr="0010007D" w:rsidRDefault="00443035" w:rsidP="0010007D">
      <w:pPr>
        <w:spacing w:after="100" w:afterAutospacing="1" w:line="240" w:lineRule="auto"/>
        <w:jc w:val="center"/>
        <w:textAlignment w:val="top"/>
        <w:rPr>
          <w:rFonts w:ascii="Arial" w:eastAsia="Times New Roman" w:hAnsi="Arial" w:cs="Arial"/>
          <w:color w:val="000000"/>
          <w:sz w:val="18"/>
          <w:szCs w:val="18"/>
          <w:lang w:eastAsia="ru-RU"/>
        </w:rPr>
      </w:pPr>
      <w:r w:rsidRPr="0010007D">
        <w:rPr>
          <w:rFonts w:ascii="Arial" w:eastAsia="Times New Roman" w:hAnsi="Arial" w:cs="Arial"/>
          <w:b/>
          <w:bCs/>
          <w:color w:val="000000"/>
          <w:sz w:val="18"/>
          <w:szCs w:val="18"/>
          <w:lang w:eastAsia="ru-RU"/>
        </w:rPr>
        <w:t>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образовательных организациях, находящихся в ведении Министерства науки и высшего образования Российской Федерации, на 2023/24 учебный год</w:t>
      </w:r>
    </w:p>
    <w:tbl>
      <w:tblPr>
        <w:tblW w:w="0" w:type="auto"/>
        <w:jc w:val="center"/>
        <w:tblBorders>
          <w:top w:val="single" w:sz="12" w:space="0" w:color="EEEEEE"/>
          <w:left w:val="single" w:sz="12" w:space="0" w:color="EEEEEE"/>
          <w:bottom w:val="single" w:sz="12" w:space="0" w:color="EEEEEE"/>
          <w:right w:val="single" w:sz="12" w:space="0" w:color="EEEEEE"/>
        </w:tblBorders>
        <w:tblCellMar>
          <w:top w:w="15" w:type="dxa"/>
          <w:left w:w="15" w:type="dxa"/>
          <w:bottom w:w="15" w:type="dxa"/>
          <w:right w:w="15" w:type="dxa"/>
        </w:tblCellMar>
        <w:tblLook w:val="04A0" w:firstRow="1" w:lastRow="0" w:firstColumn="1" w:lastColumn="0" w:noHBand="0" w:noVBand="1"/>
      </w:tblPr>
      <w:tblGrid>
        <w:gridCol w:w="2202"/>
        <w:gridCol w:w="3200"/>
      </w:tblGrid>
      <w:tr w:rsidR="00443035" w:rsidRPr="0010007D" w:rsidTr="00443035">
        <w:trPr>
          <w:trHeight w:val="270"/>
          <w:tblHeader/>
          <w:jc w:val="center"/>
        </w:trPr>
        <w:tc>
          <w:tcPr>
            <w:tcW w:w="2202" w:type="dxa"/>
            <w:tcBorders>
              <w:top w:val="single" w:sz="6" w:space="0" w:color="EEEEEE"/>
              <w:left w:val="single" w:sz="6" w:space="0" w:color="EEEEEE"/>
              <w:bottom w:val="single" w:sz="6" w:space="0" w:color="EEEEEE"/>
              <w:right w:val="single" w:sz="6" w:space="0" w:color="EEEEEE"/>
            </w:tcBorders>
            <w:shd w:val="clear" w:color="auto" w:fill="BF2C2F"/>
            <w:tcMar>
              <w:top w:w="150" w:type="dxa"/>
              <w:left w:w="150" w:type="dxa"/>
              <w:bottom w:w="150"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color w:val="FFFFFF"/>
                <w:sz w:val="24"/>
                <w:szCs w:val="24"/>
                <w:lang w:eastAsia="ru-RU"/>
              </w:rPr>
            </w:pPr>
            <w:r w:rsidRPr="0010007D">
              <w:rPr>
                <w:rFonts w:ascii="Times New Roman" w:eastAsia="Times New Roman" w:hAnsi="Times New Roman" w:cs="Times New Roman"/>
                <w:color w:val="FFFFFF"/>
                <w:sz w:val="24"/>
                <w:szCs w:val="24"/>
                <w:lang w:eastAsia="ru-RU"/>
              </w:rPr>
              <w:t>Предмет</w:t>
            </w:r>
          </w:p>
        </w:tc>
        <w:tc>
          <w:tcPr>
            <w:tcW w:w="3200" w:type="dxa"/>
            <w:tcBorders>
              <w:top w:val="single" w:sz="6" w:space="0" w:color="EEEEEE"/>
              <w:left w:val="single" w:sz="6" w:space="0" w:color="EEEEEE"/>
              <w:bottom w:val="single" w:sz="6" w:space="0" w:color="EEEEEE"/>
              <w:right w:val="single" w:sz="6" w:space="0" w:color="EEEEEE"/>
            </w:tcBorders>
            <w:shd w:val="clear" w:color="auto" w:fill="BF2C2F"/>
            <w:tcMar>
              <w:top w:w="150" w:type="dxa"/>
              <w:left w:w="150" w:type="dxa"/>
              <w:bottom w:w="150"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color w:val="FFFFFF"/>
                <w:sz w:val="24"/>
                <w:szCs w:val="24"/>
                <w:lang w:eastAsia="ru-RU"/>
              </w:rPr>
            </w:pPr>
            <w:r w:rsidRPr="0010007D">
              <w:rPr>
                <w:rFonts w:ascii="Times New Roman" w:eastAsia="Times New Roman" w:hAnsi="Times New Roman" w:cs="Times New Roman"/>
                <w:color w:val="FFFFFF"/>
                <w:sz w:val="24"/>
                <w:szCs w:val="24"/>
                <w:lang w:eastAsia="ru-RU"/>
              </w:rPr>
              <w:t>Минимальный тестовый балл</w:t>
            </w:r>
          </w:p>
        </w:tc>
      </w:tr>
      <w:tr w:rsidR="00443035" w:rsidRPr="0010007D" w:rsidTr="00443035">
        <w:trPr>
          <w:trHeight w:val="270"/>
          <w:jc w:val="center"/>
        </w:trPr>
        <w:tc>
          <w:tcPr>
            <w:tcW w:w="2202"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Русский язык</w:t>
            </w:r>
          </w:p>
        </w:tc>
        <w:tc>
          <w:tcPr>
            <w:tcW w:w="320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40</w:t>
            </w:r>
          </w:p>
        </w:tc>
      </w:tr>
      <w:tr w:rsidR="00443035" w:rsidRPr="0010007D" w:rsidTr="00443035">
        <w:trPr>
          <w:trHeight w:val="270"/>
          <w:jc w:val="center"/>
        </w:trPr>
        <w:tc>
          <w:tcPr>
            <w:tcW w:w="2202"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Математика</w:t>
            </w:r>
          </w:p>
        </w:tc>
        <w:tc>
          <w:tcPr>
            <w:tcW w:w="320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39</w:t>
            </w:r>
          </w:p>
        </w:tc>
      </w:tr>
      <w:tr w:rsidR="00443035" w:rsidRPr="0010007D" w:rsidTr="00443035">
        <w:trPr>
          <w:trHeight w:val="270"/>
          <w:jc w:val="center"/>
        </w:trPr>
        <w:tc>
          <w:tcPr>
            <w:tcW w:w="2202"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Физика</w:t>
            </w:r>
          </w:p>
        </w:tc>
        <w:tc>
          <w:tcPr>
            <w:tcW w:w="320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39</w:t>
            </w:r>
          </w:p>
        </w:tc>
      </w:tr>
      <w:tr w:rsidR="00443035" w:rsidRPr="0010007D" w:rsidTr="00443035">
        <w:trPr>
          <w:trHeight w:val="270"/>
          <w:jc w:val="center"/>
        </w:trPr>
        <w:tc>
          <w:tcPr>
            <w:tcW w:w="2202"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Химия</w:t>
            </w:r>
          </w:p>
        </w:tc>
        <w:tc>
          <w:tcPr>
            <w:tcW w:w="320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39</w:t>
            </w:r>
          </w:p>
        </w:tc>
      </w:tr>
      <w:tr w:rsidR="00443035" w:rsidRPr="0010007D" w:rsidTr="00443035">
        <w:trPr>
          <w:trHeight w:val="270"/>
          <w:jc w:val="center"/>
        </w:trPr>
        <w:tc>
          <w:tcPr>
            <w:tcW w:w="2202"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Биология</w:t>
            </w:r>
          </w:p>
        </w:tc>
        <w:tc>
          <w:tcPr>
            <w:tcW w:w="320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39</w:t>
            </w:r>
          </w:p>
        </w:tc>
      </w:tr>
      <w:tr w:rsidR="00443035" w:rsidRPr="0010007D" w:rsidTr="00443035">
        <w:trPr>
          <w:trHeight w:val="270"/>
          <w:jc w:val="center"/>
        </w:trPr>
        <w:tc>
          <w:tcPr>
            <w:tcW w:w="2202"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История</w:t>
            </w:r>
          </w:p>
        </w:tc>
        <w:tc>
          <w:tcPr>
            <w:tcW w:w="320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35</w:t>
            </w:r>
          </w:p>
        </w:tc>
      </w:tr>
      <w:tr w:rsidR="00443035" w:rsidRPr="0010007D" w:rsidTr="00443035">
        <w:trPr>
          <w:trHeight w:val="270"/>
          <w:jc w:val="center"/>
        </w:trPr>
        <w:tc>
          <w:tcPr>
            <w:tcW w:w="2202"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География</w:t>
            </w:r>
          </w:p>
        </w:tc>
        <w:tc>
          <w:tcPr>
            <w:tcW w:w="320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40</w:t>
            </w:r>
          </w:p>
        </w:tc>
      </w:tr>
      <w:tr w:rsidR="00443035" w:rsidRPr="0010007D" w:rsidTr="00443035">
        <w:trPr>
          <w:trHeight w:val="270"/>
          <w:jc w:val="center"/>
        </w:trPr>
        <w:tc>
          <w:tcPr>
            <w:tcW w:w="2202"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Иностранный язык</w:t>
            </w:r>
          </w:p>
        </w:tc>
        <w:tc>
          <w:tcPr>
            <w:tcW w:w="320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30</w:t>
            </w:r>
          </w:p>
        </w:tc>
      </w:tr>
      <w:tr w:rsidR="00443035" w:rsidRPr="0010007D" w:rsidTr="00443035">
        <w:trPr>
          <w:trHeight w:val="270"/>
          <w:jc w:val="center"/>
        </w:trPr>
        <w:tc>
          <w:tcPr>
            <w:tcW w:w="2202"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Обществознание</w:t>
            </w:r>
          </w:p>
        </w:tc>
        <w:tc>
          <w:tcPr>
            <w:tcW w:w="320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45</w:t>
            </w:r>
          </w:p>
        </w:tc>
      </w:tr>
      <w:tr w:rsidR="00443035" w:rsidRPr="0010007D" w:rsidTr="00443035">
        <w:trPr>
          <w:jc w:val="center"/>
        </w:trPr>
        <w:tc>
          <w:tcPr>
            <w:tcW w:w="2202"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Литература</w:t>
            </w:r>
          </w:p>
        </w:tc>
        <w:tc>
          <w:tcPr>
            <w:tcW w:w="320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40</w:t>
            </w:r>
          </w:p>
        </w:tc>
      </w:tr>
      <w:tr w:rsidR="00443035" w:rsidRPr="00443035" w:rsidTr="00443035">
        <w:trPr>
          <w:trHeight w:val="270"/>
          <w:jc w:val="center"/>
        </w:trPr>
        <w:tc>
          <w:tcPr>
            <w:tcW w:w="2202"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10007D"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Информатика</w:t>
            </w:r>
          </w:p>
        </w:tc>
        <w:tc>
          <w:tcPr>
            <w:tcW w:w="320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443035" w:rsidRPr="00443035" w:rsidRDefault="00443035" w:rsidP="0010007D">
            <w:pPr>
              <w:spacing w:after="0" w:line="240" w:lineRule="auto"/>
              <w:ind w:left="30"/>
              <w:jc w:val="center"/>
              <w:rPr>
                <w:rFonts w:ascii="Times New Roman" w:eastAsia="Times New Roman" w:hAnsi="Times New Roman" w:cs="Times New Roman"/>
                <w:sz w:val="24"/>
                <w:szCs w:val="24"/>
                <w:lang w:eastAsia="ru-RU"/>
              </w:rPr>
            </w:pPr>
            <w:r w:rsidRPr="0010007D">
              <w:rPr>
                <w:rFonts w:ascii="Times New Roman" w:eastAsia="Times New Roman" w:hAnsi="Times New Roman" w:cs="Times New Roman"/>
                <w:sz w:val="24"/>
                <w:szCs w:val="24"/>
                <w:lang w:eastAsia="ru-RU"/>
              </w:rPr>
              <w:t>44</w:t>
            </w:r>
          </w:p>
        </w:tc>
      </w:tr>
    </w:tbl>
    <w:p w:rsidR="00443035" w:rsidRPr="00443035" w:rsidRDefault="00443035" w:rsidP="0010007D">
      <w:pPr>
        <w:spacing w:before="240" w:after="100" w:afterAutospacing="1" w:line="240" w:lineRule="auto"/>
        <w:ind w:firstLine="708"/>
        <w:jc w:val="both"/>
        <w:textAlignment w:val="top"/>
        <w:rPr>
          <w:rFonts w:ascii="Arial" w:eastAsia="Times New Roman" w:hAnsi="Arial" w:cs="Arial"/>
          <w:color w:val="000000"/>
          <w:sz w:val="18"/>
          <w:szCs w:val="18"/>
          <w:lang w:eastAsia="ru-RU"/>
        </w:rPr>
      </w:pPr>
    </w:p>
    <w:sectPr w:rsidR="00443035" w:rsidRPr="00443035" w:rsidSect="002C1DC7">
      <w:pgSz w:w="11900" w:h="16840"/>
      <w:pgMar w:top="357" w:right="357" w:bottom="357" w:left="35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35"/>
    <w:rsid w:val="0010007D"/>
    <w:rsid w:val="002C1DC7"/>
    <w:rsid w:val="00443035"/>
    <w:rsid w:val="006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62ED"/>
  <w15:chartTrackingRefBased/>
  <w15:docId w15:val="{A9D5BC43-A978-44CD-8957-5FF58C09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30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3035"/>
    <w:rPr>
      <w:color w:val="0563C1" w:themeColor="hyperlink"/>
      <w:u w:val="single"/>
    </w:rPr>
  </w:style>
  <w:style w:type="character" w:customStyle="1" w:styleId="UnresolvedMention">
    <w:name w:val="Unresolved Mention"/>
    <w:basedOn w:val="a0"/>
    <w:uiPriority w:val="99"/>
    <w:semiHidden/>
    <w:unhideWhenUsed/>
    <w:rsid w:val="00443035"/>
    <w:rPr>
      <w:color w:val="605E5C"/>
      <w:shd w:val="clear" w:color="auto" w:fill="E1DFDD"/>
    </w:rPr>
  </w:style>
  <w:style w:type="character" w:customStyle="1" w:styleId="10">
    <w:name w:val="Заголовок 1 Знак"/>
    <w:basedOn w:val="a0"/>
    <w:link w:val="1"/>
    <w:uiPriority w:val="9"/>
    <w:rsid w:val="004430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5272">
      <w:bodyDiv w:val="1"/>
      <w:marLeft w:val="0"/>
      <w:marRight w:val="0"/>
      <w:marTop w:val="0"/>
      <w:marBottom w:val="0"/>
      <w:divBdr>
        <w:top w:val="none" w:sz="0" w:space="0" w:color="auto"/>
        <w:left w:val="none" w:sz="0" w:space="0" w:color="auto"/>
        <w:bottom w:val="none" w:sz="0" w:space="0" w:color="auto"/>
        <w:right w:val="none" w:sz="0" w:space="0" w:color="auto"/>
      </w:divBdr>
      <w:divsChild>
        <w:div w:id="2107461704">
          <w:marLeft w:val="0"/>
          <w:marRight w:val="0"/>
          <w:marTop w:val="0"/>
          <w:marBottom w:val="0"/>
          <w:divBdr>
            <w:top w:val="none" w:sz="0" w:space="0" w:color="auto"/>
            <w:left w:val="none" w:sz="0" w:space="0" w:color="auto"/>
            <w:bottom w:val="none" w:sz="0" w:space="0" w:color="auto"/>
            <w:right w:val="none" w:sz="0" w:space="0" w:color="auto"/>
          </w:divBdr>
        </w:div>
      </w:divsChild>
    </w:div>
    <w:div w:id="55051939">
      <w:bodyDiv w:val="1"/>
      <w:marLeft w:val="0"/>
      <w:marRight w:val="0"/>
      <w:marTop w:val="0"/>
      <w:marBottom w:val="0"/>
      <w:divBdr>
        <w:top w:val="none" w:sz="0" w:space="0" w:color="auto"/>
        <w:left w:val="none" w:sz="0" w:space="0" w:color="auto"/>
        <w:bottom w:val="none" w:sz="0" w:space="0" w:color="auto"/>
        <w:right w:val="none" w:sz="0" w:space="0" w:color="auto"/>
      </w:divBdr>
      <w:divsChild>
        <w:div w:id="203444179">
          <w:marLeft w:val="0"/>
          <w:marRight w:val="0"/>
          <w:marTop w:val="0"/>
          <w:marBottom w:val="0"/>
          <w:divBdr>
            <w:top w:val="none" w:sz="0" w:space="0" w:color="auto"/>
            <w:left w:val="none" w:sz="0" w:space="0" w:color="auto"/>
            <w:bottom w:val="none" w:sz="0" w:space="0" w:color="auto"/>
            <w:right w:val="none" w:sz="0" w:space="0" w:color="auto"/>
          </w:divBdr>
        </w:div>
      </w:divsChild>
    </w:div>
    <w:div w:id="731346210">
      <w:bodyDiv w:val="1"/>
      <w:marLeft w:val="0"/>
      <w:marRight w:val="0"/>
      <w:marTop w:val="0"/>
      <w:marBottom w:val="0"/>
      <w:divBdr>
        <w:top w:val="none" w:sz="0" w:space="0" w:color="auto"/>
        <w:left w:val="none" w:sz="0" w:space="0" w:color="auto"/>
        <w:bottom w:val="none" w:sz="0" w:space="0" w:color="auto"/>
        <w:right w:val="none" w:sz="0" w:space="0" w:color="auto"/>
      </w:divBdr>
      <w:divsChild>
        <w:div w:id="1661041033">
          <w:marLeft w:val="0"/>
          <w:marRight w:val="0"/>
          <w:marTop w:val="450"/>
          <w:marBottom w:val="150"/>
          <w:divBdr>
            <w:top w:val="none" w:sz="0" w:space="0" w:color="auto"/>
            <w:left w:val="none" w:sz="0" w:space="0" w:color="auto"/>
            <w:bottom w:val="none" w:sz="0" w:space="0" w:color="auto"/>
            <w:right w:val="none" w:sz="0" w:space="0" w:color="auto"/>
          </w:divBdr>
          <w:divsChild>
            <w:div w:id="812065196">
              <w:marLeft w:val="0"/>
              <w:marRight w:val="0"/>
              <w:marTop w:val="0"/>
              <w:marBottom w:val="0"/>
              <w:divBdr>
                <w:top w:val="none" w:sz="0" w:space="0" w:color="auto"/>
                <w:left w:val="none" w:sz="0" w:space="0" w:color="auto"/>
                <w:bottom w:val="none" w:sz="0" w:space="0" w:color="auto"/>
                <w:right w:val="none" w:sz="0" w:space="0" w:color="auto"/>
              </w:divBdr>
            </w:div>
          </w:divsChild>
        </w:div>
        <w:div w:id="1248229896">
          <w:marLeft w:val="0"/>
          <w:marRight w:val="0"/>
          <w:marTop w:val="300"/>
          <w:marBottom w:val="0"/>
          <w:divBdr>
            <w:top w:val="none" w:sz="0" w:space="0" w:color="auto"/>
            <w:left w:val="none" w:sz="0" w:space="0" w:color="auto"/>
            <w:bottom w:val="none" w:sz="0" w:space="0" w:color="auto"/>
            <w:right w:val="none" w:sz="0" w:space="0" w:color="auto"/>
          </w:divBdr>
          <w:divsChild>
            <w:div w:id="814295098">
              <w:marLeft w:val="0"/>
              <w:marRight w:val="0"/>
              <w:marTop w:val="0"/>
              <w:marBottom w:val="0"/>
              <w:divBdr>
                <w:top w:val="none" w:sz="0" w:space="0" w:color="auto"/>
                <w:left w:val="none" w:sz="0" w:space="0" w:color="auto"/>
                <w:bottom w:val="none" w:sz="0" w:space="0" w:color="auto"/>
                <w:right w:val="none" w:sz="0" w:space="0" w:color="auto"/>
              </w:divBdr>
            </w:div>
            <w:div w:id="1107384108">
              <w:marLeft w:val="0"/>
              <w:marRight w:val="0"/>
              <w:marTop w:val="0"/>
              <w:marBottom w:val="0"/>
              <w:divBdr>
                <w:top w:val="none" w:sz="0" w:space="0" w:color="auto"/>
                <w:left w:val="dotted" w:sz="6" w:space="11" w:color="333333"/>
                <w:bottom w:val="none" w:sz="0" w:space="0" w:color="auto"/>
                <w:right w:val="none" w:sz="0" w:space="0" w:color="auto"/>
              </w:divBdr>
            </w:div>
          </w:divsChild>
        </w:div>
      </w:divsChild>
    </w:div>
    <w:div w:id="1422675430">
      <w:bodyDiv w:val="1"/>
      <w:marLeft w:val="0"/>
      <w:marRight w:val="0"/>
      <w:marTop w:val="0"/>
      <w:marBottom w:val="0"/>
      <w:divBdr>
        <w:top w:val="none" w:sz="0" w:space="0" w:color="auto"/>
        <w:left w:val="none" w:sz="0" w:space="0" w:color="auto"/>
        <w:bottom w:val="none" w:sz="0" w:space="0" w:color="auto"/>
        <w:right w:val="none" w:sz="0" w:space="0" w:color="auto"/>
      </w:divBdr>
    </w:div>
    <w:div w:id="1529837079">
      <w:bodyDiv w:val="1"/>
      <w:marLeft w:val="0"/>
      <w:marRight w:val="0"/>
      <w:marTop w:val="0"/>
      <w:marBottom w:val="0"/>
      <w:divBdr>
        <w:top w:val="none" w:sz="0" w:space="0" w:color="auto"/>
        <w:left w:val="none" w:sz="0" w:space="0" w:color="auto"/>
        <w:bottom w:val="none" w:sz="0" w:space="0" w:color="auto"/>
        <w:right w:val="none" w:sz="0" w:space="0" w:color="auto"/>
      </w:divBdr>
    </w:div>
    <w:div w:id="1617322395">
      <w:bodyDiv w:val="1"/>
      <w:marLeft w:val="0"/>
      <w:marRight w:val="0"/>
      <w:marTop w:val="0"/>
      <w:marBottom w:val="0"/>
      <w:divBdr>
        <w:top w:val="none" w:sz="0" w:space="0" w:color="auto"/>
        <w:left w:val="none" w:sz="0" w:space="0" w:color="auto"/>
        <w:bottom w:val="none" w:sz="0" w:space="0" w:color="auto"/>
        <w:right w:val="none" w:sz="0" w:space="0" w:color="auto"/>
      </w:divBdr>
      <w:divsChild>
        <w:div w:id="1815101103">
          <w:marLeft w:val="0"/>
          <w:marRight w:val="0"/>
          <w:marTop w:val="0"/>
          <w:marBottom w:val="0"/>
          <w:divBdr>
            <w:top w:val="none" w:sz="0" w:space="0" w:color="auto"/>
            <w:left w:val="none" w:sz="0" w:space="0" w:color="auto"/>
            <w:bottom w:val="none" w:sz="0" w:space="0" w:color="auto"/>
            <w:right w:val="none" w:sz="0" w:space="0" w:color="auto"/>
          </w:divBdr>
        </w:div>
      </w:divsChild>
    </w:div>
    <w:div w:id="1741095895">
      <w:bodyDiv w:val="1"/>
      <w:marLeft w:val="0"/>
      <w:marRight w:val="0"/>
      <w:marTop w:val="0"/>
      <w:marBottom w:val="0"/>
      <w:divBdr>
        <w:top w:val="none" w:sz="0" w:space="0" w:color="auto"/>
        <w:left w:val="none" w:sz="0" w:space="0" w:color="auto"/>
        <w:bottom w:val="none" w:sz="0" w:space="0" w:color="auto"/>
        <w:right w:val="none" w:sz="0" w:space="0" w:color="auto"/>
      </w:divBdr>
      <w:divsChild>
        <w:div w:id="477919780">
          <w:marLeft w:val="0"/>
          <w:marRight w:val="0"/>
          <w:marTop w:val="0"/>
          <w:marBottom w:val="0"/>
          <w:divBdr>
            <w:top w:val="none" w:sz="0" w:space="0" w:color="auto"/>
            <w:left w:val="none" w:sz="0" w:space="0" w:color="auto"/>
            <w:bottom w:val="none" w:sz="0" w:space="0" w:color="auto"/>
            <w:right w:val="none" w:sz="0" w:space="0" w:color="auto"/>
          </w:divBdr>
        </w:div>
      </w:divsChild>
    </w:div>
    <w:div w:id="200489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vege.ru/documents/upload/1735" TargetMode="External"/><Relationship Id="rId13" Type="http://schemas.openxmlformats.org/officeDocument/2006/relationships/hyperlink" Target="https://www.ivege.ru/uploads/files/2024/%D0%94%D0%B5%D1%8F%D1%82%D0%B5%D0%BB%D1%8C%D0%BD%D0%BE%D1%81%D1%82%D1%8C/%D0%93%D0%98%D0%90%2011/%D0%90%D0%B1%D0%B8%D1%82%D1%83%D1%80%D0%B8%D0%B5%D0%BD%D1%82%D1%83/%D0%9C%D0%B8%D0%BD%D0%BE%D0%B1%D1%80%D0%BD%D0%B0%D1%83%D0%BA%D0%B8%20%D0%BE%D1%82%2012.08.2022%20%E2%84%96758.pdf" TargetMode="External"/><Relationship Id="rId3" Type="http://schemas.openxmlformats.org/officeDocument/2006/relationships/webSettings" Target="webSettings.xml"/><Relationship Id="rId7" Type="http://schemas.openxmlformats.org/officeDocument/2006/relationships/hyperlink" Target="https://regulation.gov.ru/Regulation/Npa/PublicView?npaID=143914" TargetMode="External"/><Relationship Id="rId12" Type="http://schemas.openxmlformats.org/officeDocument/2006/relationships/hyperlink" Target="https://fipi.ru/ege/otkrytyy-bank-zadaniy-e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vege.ru/uploads/files/2023/%D0%94%D0%B5%D1%8F%D1%82%D0%B5%D0%BB%D1%8C%D0%BD%D0%BE%D1%81%D1%82%D1%8C/%D0%93%D0%98%D0%9011/%D0%BF%D1%80%D0%BE%D1%86%D0%B5%D0%B4%D1%83%D1%80%D0%B0%20%D0%BF%D1%80%D0%BE%D0%B2%D0%B5%D0%B4%D0%B5%D0%BD%D0%B8%D1%8F/%D0%93%D0%98%D0%90-9%20%D0%BE%D1%82%2004.04.2023%20232-551.pdf" TargetMode="External"/><Relationship Id="rId11" Type="http://schemas.openxmlformats.org/officeDocument/2006/relationships/hyperlink" Target="https://www.ivege.ru/documents/upload/1742" TargetMode="External"/><Relationship Id="rId5" Type="http://schemas.openxmlformats.org/officeDocument/2006/relationships/hyperlink" Target="https://www.ivege.ru/uploads/files/2023/%D0%94%D0%B5%D1%8F%D1%82%D0%B5%D0%BB%D1%8C%D0%BD%D0%BE%D1%81%D1%82%D1%8C/%D0%93%D0%98%D0%9011/%D0%BF%D1%80%D0%BE%D1%86%D0%B5%D0%B4%D1%83%D1%80%D0%B0%20%D0%BF%D1%80%D0%BE%D0%B2%D0%B5%D0%B4%D0%B5%D0%BD%D0%B8%D1%8F/Novaia-redaktsiia-Poriadka-provedeniia-GIA-11.pdf" TargetMode="External"/><Relationship Id="rId15" Type="http://schemas.openxmlformats.org/officeDocument/2006/relationships/theme" Target="theme/theme1.xml"/><Relationship Id="rId10" Type="http://schemas.openxmlformats.org/officeDocument/2006/relationships/hyperlink" Target="https://www.ivege.ru/documents/upload/1737" TargetMode="External"/><Relationship Id="rId4" Type="http://schemas.openxmlformats.org/officeDocument/2006/relationships/hyperlink" Target="https://www.ivege.ru/content/work/ege/blanki" TargetMode="External"/><Relationship Id="rId9" Type="http://schemas.openxmlformats.org/officeDocument/2006/relationships/hyperlink" Target="https://www.ivege.ru/documents/upload/173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2195</Words>
  <Characters>12515</Characters>
  <Application>Microsoft Office Word</Application>
  <DocSecurity>0</DocSecurity>
  <Lines>104</Lines>
  <Paragraphs>29</Paragraphs>
  <ScaleCrop>false</ScaleCrop>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2024-03-15T10:57:00Z</dcterms:created>
  <dcterms:modified xsi:type="dcterms:W3CDTF">2024-04-21T12:56:00Z</dcterms:modified>
</cp:coreProperties>
</file>