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План мероприятий, посвященных 80-летию Победы в Великой Отечественной войне</w:t>
      </w:r>
      <w:r>
        <w:rPr>
          <w:b w:val="1"/>
          <w:sz w:val="24"/>
        </w:rPr>
        <w:t xml:space="preserve"> в МБОУ «Гимназия № 36»</w:t>
      </w:r>
    </w:p>
    <w:p w14:paraId="02000000">
      <w:pPr>
        <w:ind/>
        <w:jc w:val="center"/>
        <w:rPr>
          <w:b w:val="1"/>
          <w:sz w:val="24"/>
        </w:rPr>
      </w:pPr>
    </w:p>
    <w:tbl>
      <w:tblPr>
        <w:tblStyle w:val="Style_1"/>
        <w:tblLayout w:type="fixed"/>
      </w:tblPr>
      <w:tblGrid>
        <w:gridCol w:w="3304"/>
        <w:gridCol w:w="5598"/>
        <w:gridCol w:w="5668"/>
      </w:tblGrid>
      <w:tr>
        <w:trPr>
          <w:trHeight w:hRule="atLeast" w:val="226"/>
        </w:trPr>
        <w:tc>
          <w:tcPr>
            <w:tcW w:type="dxa" w:w="3304"/>
            <w:vAlign w:val="center"/>
          </w:tcPr>
          <w:p w14:paraId="03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Дата / время</w:t>
            </w:r>
          </w:p>
        </w:tc>
        <w:tc>
          <w:tcPr>
            <w:tcW w:type="dxa" w:w="5598"/>
            <w:vAlign w:val="center"/>
          </w:tcPr>
          <w:p w14:paraId="04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 мероприятия</w:t>
            </w:r>
          </w:p>
        </w:tc>
        <w:tc>
          <w:tcPr>
            <w:tcW w:type="dxa" w:w="5668"/>
            <w:vAlign w:val="center"/>
          </w:tcPr>
          <w:p w14:paraId="05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Описание мероприятия</w:t>
            </w:r>
          </w:p>
        </w:tc>
      </w:tr>
      <w:tr>
        <w:trPr>
          <w:trHeight w:hRule="atLeast" w:val="226"/>
        </w:trPr>
        <w:tc>
          <w:tcPr>
            <w:tcW w:type="dxa" w:w="3304"/>
            <w:vAlign w:val="center"/>
          </w:tcPr>
          <w:p w14:paraId="06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 января 2025.</w:t>
            </w:r>
          </w:p>
          <w:p w14:paraId="07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13.30</w:t>
            </w:r>
          </w:p>
        </w:tc>
        <w:tc>
          <w:tcPr>
            <w:tcW w:type="dxa" w:w="5598"/>
            <w:vAlign w:val="center"/>
          </w:tcPr>
          <w:p w14:paraId="08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Мини-концерт для ветеранов – жителей блокадного Ленинграда </w:t>
            </w:r>
          </w:p>
        </w:tc>
        <w:tc>
          <w:tcPr>
            <w:tcW w:type="dxa" w:w="5668"/>
            <w:vAlign w:val="center"/>
          </w:tcPr>
          <w:p w14:paraId="09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Мероприятие проводится в актовом зале в сотрудничестве с в сотрудничестве с социальными партнерами Ивановской коррекционной школой № 1 и ДМШ №7. Для ветеранов будут представлены стихи и песни военных лет, вручены подарки</w:t>
            </w:r>
          </w:p>
        </w:tc>
      </w:tr>
      <w:tr>
        <w:trPr>
          <w:trHeight w:hRule="atLeast" w:val="226"/>
        </w:trPr>
        <w:tc>
          <w:tcPr>
            <w:tcW w:type="dxa" w:w="3304"/>
            <w:vAlign w:val="center"/>
          </w:tcPr>
          <w:p w14:paraId="0A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февраля 2025. в 14.00.</w:t>
            </w:r>
          </w:p>
        </w:tc>
        <w:tc>
          <w:tcPr>
            <w:tcW w:type="dxa" w:w="5598"/>
            <w:vAlign w:val="center"/>
          </w:tcPr>
          <w:p w14:paraId="0B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Интеллектуальная игра для школ Ленинского района «Их имена живут на улицах Иванова»</w:t>
            </w:r>
          </w:p>
        </w:tc>
        <w:tc>
          <w:tcPr>
            <w:tcW w:type="dxa" w:w="5668"/>
            <w:vAlign w:val="center"/>
          </w:tcPr>
          <w:p w14:paraId="0C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Мероприятие проводится в актовом зале гимназии, состоит из трех туров, в каждом из которых 6 вопросов. Победителям вручаются грамоты и сувениры. </w:t>
            </w:r>
          </w:p>
        </w:tc>
      </w:tr>
      <w:tr>
        <w:trPr>
          <w:trHeight w:hRule="atLeast" w:val="226"/>
        </w:trPr>
        <w:tc>
          <w:tcPr>
            <w:tcW w:type="dxa" w:w="3304"/>
            <w:vAlign w:val="center"/>
          </w:tcPr>
          <w:p w14:paraId="0D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 февраля 2025.</w:t>
            </w:r>
          </w:p>
          <w:p w14:paraId="0E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13.00</w:t>
            </w:r>
          </w:p>
        </w:tc>
        <w:tc>
          <w:tcPr>
            <w:tcW w:type="dxa" w:w="5598"/>
            <w:vAlign w:val="center"/>
          </w:tcPr>
          <w:p w14:paraId="0F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Игра «Юные защитники Отечества»</w:t>
            </w:r>
          </w:p>
        </w:tc>
        <w:tc>
          <w:tcPr>
            <w:tcW w:type="dxa" w:w="5668"/>
            <w:vAlign w:val="center"/>
          </w:tcPr>
          <w:p w14:paraId="10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Мероприятие проводится в актовом зале на параллели 5-ых классов в сотрудничестве с педагогами ЦГВ «Высота»</w:t>
            </w:r>
          </w:p>
        </w:tc>
      </w:tr>
      <w:tr>
        <w:trPr>
          <w:trHeight w:hRule="atLeast" w:val="226"/>
        </w:trPr>
        <w:tc>
          <w:tcPr>
            <w:tcW w:type="dxa" w:w="3304"/>
            <w:vAlign w:val="center"/>
          </w:tcPr>
          <w:p w14:paraId="11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Февраль (по графику) </w:t>
            </w:r>
          </w:p>
        </w:tc>
        <w:tc>
          <w:tcPr>
            <w:tcW w:type="dxa" w:w="5598"/>
            <w:vAlign w:val="center"/>
          </w:tcPr>
          <w:p w14:paraId="12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Конкурс стихов «Строка, оборванная пулей»</w:t>
            </w:r>
          </w:p>
        </w:tc>
        <w:tc>
          <w:tcPr>
            <w:tcW w:type="dxa" w:w="5668"/>
            <w:vAlign w:val="center"/>
          </w:tcPr>
          <w:p w14:paraId="13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Конкурс проводится в кабинете литературы для всех желающих. Стихи военной тематики оценивает жюри, победителям вручают грамоты.</w:t>
            </w:r>
          </w:p>
        </w:tc>
      </w:tr>
      <w:tr>
        <w:trPr>
          <w:trHeight w:hRule="atLeast" w:val="226"/>
        </w:trPr>
        <w:tc>
          <w:tcPr>
            <w:tcW w:type="dxa" w:w="3304"/>
            <w:vAlign w:val="center"/>
          </w:tcPr>
          <w:p w14:paraId="14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Март</w:t>
            </w:r>
          </w:p>
        </w:tc>
        <w:tc>
          <w:tcPr>
            <w:tcW w:type="dxa" w:w="5598"/>
            <w:vAlign w:val="center"/>
          </w:tcPr>
          <w:p w14:paraId="15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Старт общешкольной акции «Во имя жизни на земле!» </w:t>
            </w:r>
          </w:p>
        </w:tc>
        <w:tc>
          <w:tcPr>
            <w:tcW w:type="dxa" w:w="5668"/>
            <w:vAlign w:val="center"/>
          </w:tcPr>
          <w:p w14:paraId="16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Проводится в группе гимназии </w:t>
            </w:r>
            <w:r>
              <w:rPr>
                <w:color w:val="000000"/>
                <w:sz w:val="28"/>
              </w:rPr>
              <w:t>ВКонтакте</w:t>
            </w:r>
            <w:r>
              <w:rPr>
                <w:color w:val="000000"/>
                <w:sz w:val="28"/>
              </w:rPr>
              <w:t>.</w:t>
            </w:r>
          </w:p>
          <w:p w14:paraId="17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Лента видеороликов, посвященная участникам событий военного времени (родственникам авторов)</w:t>
            </w:r>
          </w:p>
        </w:tc>
      </w:tr>
      <w:tr>
        <w:trPr>
          <w:trHeight w:hRule="atLeast" w:val="226"/>
        </w:trPr>
        <w:tc>
          <w:tcPr>
            <w:tcW w:type="dxa" w:w="3304"/>
            <w:vAlign w:val="center"/>
          </w:tcPr>
          <w:p w14:paraId="18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Март -апрель</w:t>
            </w:r>
          </w:p>
        </w:tc>
        <w:tc>
          <w:tcPr>
            <w:tcW w:type="dxa" w:w="5598"/>
            <w:vAlign w:val="center"/>
          </w:tcPr>
          <w:p w14:paraId="19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Акция «Музейные истории»</w:t>
            </w:r>
          </w:p>
        </w:tc>
        <w:tc>
          <w:tcPr>
            <w:tcW w:type="dxa" w:w="5668"/>
            <w:vAlign w:val="center"/>
          </w:tcPr>
          <w:p w14:paraId="1A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Экскурсии-концерты для обучающихся и родителей в Музей гимназии в сотрудничестве с ДМШ №7</w:t>
            </w:r>
          </w:p>
        </w:tc>
      </w:tr>
      <w:tr>
        <w:trPr>
          <w:trHeight w:hRule="atLeast" w:val="226"/>
        </w:trPr>
        <w:tc>
          <w:tcPr>
            <w:tcW w:type="dxa" w:w="3304"/>
            <w:vAlign w:val="center"/>
          </w:tcPr>
          <w:p w14:paraId="1B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Апрель </w:t>
            </w:r>
          </w:p>
        </w:tc>
        <w:tc>
          <w:tcPr>
            <w:tcW w:type="dxa" w:w="5598"/>
            <w:vAlign w:val="center"/>
          </w:tcPr>
          <w:p w14:paraId="1C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Фестиваль патриотической песни «Восьмидесятилетие Великой Победы. Героям посвящается»</w:t>
            </w:r>
          </w:p>
        </w:tc>
        <w:tc>
          <w:tcPr>
            <w:tcW w:type="dxa" w:w="5668"/>
            <w:vAlign w:val="center"/>
          </w:tcPr>
          <w:p w14:paraId="1D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Общешкольный конкурс инсценированной патриотической песни. Участие принимают классные коллективы. Победителям и участникам вручают грамоты.</w:t>
            </w:r>
          </w:p>
        </w:tc>
      </w:tr>
      <w:tr>
        <w:trPr>
          <w:trHeight w:hRule="atLeast" w:val="226"/>
        </w:trPr>
        <w:tc>
          <w:tcPr>
            <w:tcW w:type="dxa" w:w="3304"/>
            <w:vAlign w:val="center"/>
          </w:tcPr>
          <w:p w14:paraId="1E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Апрель </w:t>
            </w:r>
          </w:p>
        </w:tc>
        <w:tc>
          <w:tcPr>
            <w:tcW w:type="dxa" w:w="5598"/>
            <w:vAlign w:val="center"/>
          </w:tcPr>
          <w:p w14:paraId="1F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Военно-спортивная эстафета «Сила спорта – Великой Победе»</w:t>
            </w:r>
          </w:p>
        </w:tc>
        <w:tc>
          <w:tcPr>
            <w:tcW w:type="dxa" w:w="5668"/>
            <w:vAlign w:val="center"/>
          </w:tcPr>
          <w:p w14:paraId="20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Мероприятие проводится в спортивном зале. Участвуют команды юношей допризывного возраста. За участие и призовые места вручаются грамоты и сувениры.</w:t>
            </w:r>
          </w:p>
        </w:tc>
      </w:tr>
      <w:tr>
        <w:trPr>
          <w:trHeight w:hRule="atLeast" w:val="226"/>
        </w:trPr>
        <w:tc>
          <w:tcPr>
            <w:tcW w:type="dxa" w:w="3304"/>
            <w:vAlign w:val="center"/>
          </w:tcPr>
          <w:p w14:paraId="21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Апрель </w:t>
            </w:r>
          </w:p>
        </w:tc>
        <w:tc>
          <w:tcPr>
            <w:tcW w:type="dxa" w:w="5598"/>
            <w:vAlign w:val="center"/>
          </w:tcPr>
          <w:p w14:paraId="22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Общешкольная научно-практическая конференция «В единстве сила!»</w:t>
            </w:r>
          </w:p>
        </w:tc>
        <w:tc>
          <w:tcPr>
            <w:tcW w:type="dxa" w:w="5668"/>
            <w:vAlign w:val="center"/>
          </w:tcPr>
          <w:p w14:paraId="23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Конференция проводится в учебных кабинетах. Участники презентуют исследования, проекты на военную тематику. Жюри выбирает лучшие работы для итоговой общественной презентации в актовом зале. Участникам и победителям вручают грамоты</w:t>
            </w:r>
          </w:p>
        </w:tc>
      </w:tr>
      <w:tr>
        <w:trPr>
          <w:trHeight w:hRule="atLeast" w:val="226"/>
        </w:trPr>
        <w:tc>
          <w:tcPr>
            <w:tcW w:type="dxa" w:w="3304"/>
            <w:vAlign w:val="center"/>
          </w:tcPr>
          <w:p w14:paraId="24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Апрель-май </w:t>
            </w:r>
          </w:p>
        </w:tc>
        <w:tc>
          <w:tcPr>
            <w:tcW w:type="dxa" w:w="5598"/>
            <w:vAlign w:val="center"/>
          </w:tcPr>
          <w:p w14:paraId="25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Создание фотозоны «Творить любить и побеждать!»</w:t>
            </w:r>
          </w:p>
        </w:tc>
        <w:tc>
          <w:tcPr>
            <w:tcW w:type="dxa" w:w="5668"/>
            <w:vAlign w:val="center"/>
          </w:tcPr>
          <w:p w14:paraId="26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Создание фотозоны с участием родительской общественности</w:t>
            </w:r>
          </w:p>
        </w:tc>
      </w:tr>
      <w:tr>
        <w:trPr>
          <w:trHeight w:hRule="atLeast" w:val="226"/>
        </w:trPr>
        <w:tc>
          <w:tcPr>
            <w:tcW w:type="dxa" w:w="3304"/>
            <w:vAlign w:val="center"/>
          </w:tcPr>
          <w:p w14:paraId="27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7 мая </w:t>
            </w:r>
          </w:p>
        </w:tc>
        <w:tc>
          <w:tcPr>
            <w:tcW w:type="dxa" w:w="5598"/>
            <w:vAlign w:val="center"/>
          </w:tcPr>
          <w:p w14:paraId="28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Митинг – конце</w:t>
            </w:r>
            <w:bookmarkStart w:id="1" w:name="_GoBack"/>
            <w:bookmarkEnd w:id="1"/>
            <w:r>
              <w:rPr>
                <w:color w:val="000000"/>
                <w:sz w:val="28"/>
              </w:rPr>
              <w:t>рт «Бессмертный полк»</w:t>
            </w:r>
          </w:p>
        </w:tc>
        <w:tc>
          <w:tcPr>
            <w:tcW w:type="dxa" w:w="5668"/>
            <w:vAlign w:val="center"/>
          </w:tcPr>
          <w:p w14:paraId="29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Проводится в школьном дворе для учеников школы и жителей микрорайона. Участники приходят с фотографиями своих героев. В программе песни, стихи и танцы о войне</w:t>
            </w:r>
          </w:p>
        </w:tc>
      </w:tr>
    </w:tbl>
    <w:p w14:paraId="2A000000">
      <w:pPr>
        <w:rPr>
          <w:sz w:val="28"/>
        </w:rPr>
      </w:pPr>
    </w:p>
    <w:sectPr>
      <w:pgSz w:h="11906" w:orient="landscape" w:w="16838"/>
      <w:pgMar w:bottom="850" w:footer="708" w:gutter="0" w:header="708" w:left="1134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2_ch" w:type="character">
    <w:name w:val="Normal"/>
    <w:link w:val="Style_2"/>
    <w:rPr>
      <w:rFonts w:ascii="Times New Roman" w:hAnsi="Times New Roman"/>
      <w:sz w:val="20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Balloon Text"/>
    <w:basedOn w:val="Style_2"/>
    <w:link w:val="Style_5_ch"/>
    <w:rPr>
      <w:rFonts w:ascii="Segoe UI" w:hAnsi="Segoe UI"/>
      <w:sz w:val="18"/>
    </w:rPr>
  </w:style>
  <w:style w:styleId="Style_5_ch" w:type="character">
    <w:name w:val="Balloon Text"/>
    <w:basedOn w:val="Style_2_ch"/>
    <w:link w:val="Style_5"/>
    <w:rPr>
      <w:rFonts w:ascii="Segoe UI" w:hAnsi="Segoe UI"/>
      <w:sz w:val="1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2025-03-09T16:56:01Z</dcterms:modified>
</cp:coreProperties>
</file>